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14C55" w14:textId="561ED842" w:rsidR="00E423F5" w:rsidRPr="00C422DE" w:rsidRDefault="00E349F0" w:rsidP="00C149AF">
      <w:pPr>
        <w:pStyle w:val="Heading1"/>
        <w:rPr>
          <w:rFonts w:cstheme="minorHAnsi"/>
          <w:lang w:val="en-GB"/>
        </w:rPr>
      </w:pPr>
      <w:bookmarkStart w:id="0" w:name="_Hlk123107324"/>
      <w:bookmarkStart w:id="1" w:name="_Hlk123107404"/>
      <w:r w:rsidRPr="0095106E">
        <w:rPr>
          <w:noProof/>
        </w:rPr>
        <mc:AlternateContent>
          <mc:Choice Requires="wps">
            <w:drawing>
              <wp:anchor distT="0" distB="0" distL="114300" distR="114300" simplePos="0" relativeHeight="251665408" behindDoc="0" locked="0" layoutInCell="1" allowOverlap="1" wp14:anchorId="6329FC65" wp14:editId="26672577">
                <wp:simplePos x="0" y="0"/>
                <wp:positionH relativeFrom="margin">
                  <wp:posOffset>0</wp:posOffset>
                </wp:positionH>
                <wp:positionV relativeFrom="margin">
                  <wp:posOffset>201353</wp:posOffset>
                </wp:positionV>
                <wp:extent cx="5953760" cy="939800"/>
                <wp:effectExtent l="0" t="0" r="27940" b="12700"/>
                <wp:wrapSquare wrapText="bothSides"/>
                <wp:docPr id="8"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53760" cy="939800"/>
                        </a:xfrm>
                        <a:prstGeom prst="roundRect">
                          <a:avLst>
                            <a:gd name="adj" fmla="val 16667"/>
                          </a:avLst>
                        </a:prstGeom>
                        <a:solidFill>
                          <a:srgbClr val="FF0000"/>
                        </a:solidFill>
                        <a:ln w="25400" cap="flat" cmpd="sng" algn="ctr">
                          <a:solidFill>
                            <a:srgbClr val="385D8A"/>
                          </a:solidFill>
                          <a:prstDash val="solid"/>
                          <a:round/>
                          <a:headEnd/>
                          <a:tailEnd/>
                        </a:ln>
                      </wps:spPr>
                      <wps:txbx>
                        <w:txbxContent>
                          <w:p w14:paraId="0DAFD423" w14:textId="77777777" w:rsidR="003F04C2" w:rsidRPr="004008C2" w:rsidRDefault="003F04C2" w:rsidP="003F04C2">
                            <w:pPr>
                              <w:spacing w:after="120"/>
                              <w:jc w:val="center"/>
                              <w:rPr>
                                <w:rFonts w:ascii="Calibri" w:hAnsi="Calibri" w:cs="Calibri"/>
                                <w:b/>
                                <w:bCs/>
                                <w:color w:val="EEECE1"/>
                                <w:sz w:val="48"/>
                                <w:szCs w:val="48"/>
                                <w:highlight w:val="red"/>
                              </w:rPr>
                            </w:pPr>
                            <w:r w:rsidRPr="004008C2">
                              <w:rPr>
                                <w:rFonts w:ascii="Calibri" w:hAnsi="Calibri" w:cs="Calibri"/>
                                <w:b/>
                                <w:bCs/>
                                <w:color w:val="EEECE1"/>
                                <w:sz w:val="48"/>
                                <w:szCs w:val="48"/>
                                <w:highlight w:val="red"/>
                              </w:rPr>
                              <w:t>JOURNAL OF ANTI-CORRUPTION LAW</w:t>
                            </w:r>
                          </w:p>
                          <w:p w14:paraId="2D69F55E" w14:textId="222B67E8" w:rsidR="003F04C2" w:rsidRPr="004008C2" w:rsidRDefault="003F04C2" w:rsidP="003F04C2">
                            <w:pPr>
                              <w:spacing w:after="120"/>
                              <w:jc w:val="center"/>
                              <w:rPr>
                                <w:color w:val="EEECE1"/>
                                <w:sz w:val="32"/>
                                <w:szCs w:val="32"/>
                              </w:rPr>
                            </w:pPr>
                            <w:r w:rsidRPr="004008C2">
                              <w:rPr>
                                <w:rFonts w:ascii="Calibri" w:hAnsi="Calibri" w:cs="Calibri"/>
                                <w:b/>
                                <w:bCs/>
                                <w:color w:val="EEECE1"/>
                                <w:sz w:val="32"/>
                                <w:szCs w:val="32"/>
                                <w:highlight w:val="red"/>
                              </w:rPr>
                              <w:t>20</w:t>
                            </w:r>
                            <w:r>
                              <w:rPr>
                                <w:rFonts w:ascii="Calibri" w:hAnsi="Calibri" w:cs="Calibri"/>
                                <w:b/>
                                <w:bCs/>
                                <w:color w:val="EEECE1"/>
                                <w:sz w:val="32"/>
                                <w:szCs w:val="32"/>
                                <w:highlight w:val="red"/>
                              </w:rPr>
                              <w:t>2</w:t>
                            </w:r>
                            <w:r w:rsidR="008537CE">
                              <w:rPr>
                                <w:rFonts w:ascii="Calibri" w:hAnsi="Calibri" w:cs="Calibri"/>
                                <w:b/>
                                <w:bCs/>
                                <w:color w:val="EEECE1"/>
                                <w:sz w:val="32"/>
                                <w:szCs w:val="32"/>
                                <w:highlight w:val="red"/>
                              </w:rPr>
                              <w:t>5</w:t>
                            </w:r>
                            <w:r w:rsidRPr="004008C2">
                              <w:rPr>
                                <w:rFonts w:ascii="Calibri" w:hAnsi="Calibri" w:cs="Calibri"/>
                                <w:b/>
                                <w:bCs/>
                                <w:color w:val="EEECE1"/>
                                <w:sz w:val="32"/>
                                <w:szCs w:val="32"/>
                                <w:highlight w:val="red"/>
                              </w:rPr>
                              <w:t xml:space="preserve"> Volume </w:t>
                            </w:r>
                            <w:r w:rsidR="008537CE">
                              <w:rPr>
                                <w:rFonts w:ascii="Calibri" w:hAnsi="Calibri" w:cs="Calibri"/>
                                <w:b/>
                                <w:bCs/>
                                <w:color w:val="EEECE1"/>
                                <w:sz w:val="32"/>
                                <w:szCs w:val="32"/>
                                <w:highlight w:val="red"/>
                              </w:rPr>
                              <w:t>9</w:t>
                            </w:r>
                            <w:r w:rsidRPr="004008C2">
                              <w:rPr>
                                <w:rFonts w:ascii="Calibri" w:hAnsi="Calibri" w:cs="Calibri"/>
                                <w:b/>
                                <w:bCs/>
                                <w:color w:val="EEECE1"/>
                                <w:sz w:val="32"/>
                                <w:szCs w:val="32"/>
                                <w:highlight w:val="red"/>
                              </w:rPr>
                              <w:t xml:space="preserve"> Pages </w:t>
                            </w:r>
                            <w:r w:rsidR="00345597">
                              <w:rPr>
                                <w:rFonts w:ascii="Calibri" w:hAnsi="Calibri" w:cs="Calibri"/>
                                <w:b/>
                                <w:bCs/>
                                <w:color w:val="EEECE1"/>
                                <w:sz w:val="32"/>
                                <w:szCs w:val="32"/>
                                <w:highlight w:val="red"/>
                              </w:rPr>
                              <w:t>27</w:t>
                            </w:r>
                            <w:r w:rsidRPr="004008C2">
                              <w:rPr>
                                <w:rFonts w:ascii="Calibri" w:hAnsi="Calibri" w:cs="Calibri"/>
                                <w:b/>
                                <w:bCs/>
                                <w:color w:val="EEECE1"/>
                                <w:sz w:val="32"/>
                                <w:szCs w:val="32"/>
                              </w:rPr>
                              <w:t xml:space="preserve"> - </w:t>
                            </w:r>
                            <w:r w:rsidR="00345597">
                              <w:rPr>
                                <w:rFonts w:ascii="Calibri" w:hAnsi="Calibri" w:cs="Calibri"/>
                                <w:b/>
                                <w:bCs/>
                                <w:color w:val="EEECE1"/>
                                <w:sz w:val="32"/>
                                <w:szCs w:val="32"/>
                              </w:rPr>
                              <w:t>42</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329FC65" id="Rounded Rectangle 3" o:spid="_x0000_s1026" style="position:absolute;margin-left:0;margin-top:15.85pt;width:468.8pt;height:7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" fillcolor="red" strokecolor="#385d8a" strokeweight="2pt">
                <v:path arrowok="t"/>
                <v:textbox>
                  <w:txbxContent>
                    <w:p w14:paraId="0DAFD423" w14:textId="77777777" w:rsidR="003F04C2" w:rsidRPr="004008C2" w:rsidRDefault="003F04C2" w:rsidP="003F04C2">
                      <w:pPr>
                        <w:spacing w:after="120"/>
                        <w:jc w:val="center"/>
                        <w:rPr>
                          <w:rFonts w:ascii="Calibri" w:hAnsi="Calibri" w:cs="Calibri"/>
                          <w:b/>
                          <w:bCs/>
                          <w:color w:val="EEECE1"/>
                          <w:sz w:val="48"/>
                          <w:szCs w:val="48"/>
                          <w:highlight w:val="red"/>
                        </w:rPr>
                      </w:pPr>
                      <w:r w:rsidRPr="004008C2">
                        <w:rPr>
                          <w:rFonts w:ascii="Calibri" w:hAnsi="Calibri" w:cs="Calibri"/>
                          <w:b/>
                          <w:bCs/>
                          <w:color w:val="EEECE1"/>
                          <w:sz w:val="48"/>
                          <w:szCs w:val="48"/>
                          <w:highlight w:val="red"/>
                        </w:rPr>
                        <w:t>JOURNAL OF ANTI-CORRUPTION LAW</w:t>
                      </w:r>
                    </w:p>
                    <w:p w14:paraId="2D69F55E" w14:textId="222B67E8" w:rsidR="003F04C2" w:rsidRPr="004008C2" w:rsidRDefault="003F04C2" w:rsidP="003F04C2">
                      <w:pPr>
                        <w:spacing w:after="120"/>
                        <w:jc w:val="center"/>
                        <w:rPr>
                          <w:color w:val="EEECE1"/>
                          <w:sz w:val="32"/>
                          <w:szCs w:val="32"/>
                        </w:rPr>
                      </w:pPr>
                      <w:r w:rsidRPr="004008C2">
                        <w:rPr>
                          <w:rFonts w:ascii="Calibri" w:hAnsi="Calibri" w:cs="Calibri"/>
                          <w:b/>
                          <w:bCs/>
                          <w:color w:val="EEECE1"/>
                          <w:sz w:val="32"/>
                          <w:szCs w:val="32"/>
                          <w:highlight w:val="red"/>
                        </w:rPr>
                        <w:t>20</w:t>
                      </w:r>
                      <w:r>
                        <w:rPr>
                          <w:rFonts w:ascii="Calibri" w:hAnsi="Calibri" w:cs="Calibri"/>
                          <w:b/>
                          <w:bCs/>
                          <w:color w:val="EEECE1"/>
                          <w:sz w:val="32"/>
                          <w:szCs w:val="32"/>
                          <w:highlight w:val="red"/>
                        </w:rPr>
                        <w:t>2</w:t>
                      </w:r>
                      <w:r w:rsidR="008537CE">
                        <w:rPr>
                          <w:rFonts w:ascii="Calibri" w:hAnsi="Calibri" w:cs="Calibri"/>
                          <w:b/>
                          <w:bCs/>
                          <w:color w:val="EEECE1"/>
                          <w:sz w:val="32"/>
                          <w:szCs w:val="32"/>
                          <w:highlight w:val="red"/>
                        </w:rPr>
                        <w:t>5</w:t>
                      </w:r>
                      <w:r w:rsidRPr="004008C2">
                        <w:rPr>
                          <w:rFonts w:ascii="Calibri" w:hAnsi="Calibri" w:cs="Calibri"/>
                          <w:b/>
                          <w:bCs/>
                          <w:color w:val="EEECE1"/>
                          <w:sz w:val="32"/>
                          <w:szCs w:val="32"/>
                          <w:highlight w:val="red"/>
                        </w:rPr>
                        <w:t xml:space="preserve"> Volume </w:t>
                      </w:r>
                      <w:r w:rsidR="008537CE">
                        <w:rPr>
                          <w:rFonts w:ascii="Calibri" w:hAnsi="Calibri" w:cs="Calibri"/>
                          <w:b/>
                          <w:bCs/>
                          <w:color w:val="EEECE1"/>
                          <w:sz w:val="32"/>
                          <w:szCs w:val="32"/>
                          <w:highlight w:val="red"/>
                        </w:rPr>
                        <w:t>9</w:t>
                      </w:r>
                      <w:r w:rsidRPr="004008C2">
                        <w:rPr>
                          <w:rFonts w:ascii="Calibri" w:hAnsi="Calibri" w:cs="Calibri"/>
                          <w:b/>
                          <w:bCs/>
                          <w:color w:val="EEECE1"/>
                          <w:sz w:val="32"/>
                          <w:szCs w:val="32"/>
                          <w:highlight w:val="red"/>
                        </w:rPr>
                        <w:t xml:space="preserve"> Pages </w:t>
                      </w:r>
                      <w:r w:rsidR="00345597">
                        <w:rPr>
                          <w:rFonts w:ascii="Calibri" w:hAnsi="Calibri" w:cs="Calibri"/>
                          <w:b/>
                          <w:bCs/>
                          <w:color w:val="EEECE1"/>
                          <w:sz w:val="32"/>
                          <w:szCs w:val="32"/>
                          <w:highlight w:val="red"/>
                        </w:rPr>
                        <w:t>27</w:t>
                      </w:r>
                      <w:r w:rsidRPr="004008C2">
                        <w:rPr>
                          <w:rFonts w:ascii="Calibri" w:hAnsi="Calibri" w:cs="Calibri"/>
                          <w:b/>
                          <w:bCs/>
                          <w:color w:val="EEECE1"/>
                          <w:sz w:val="32"/>
                          <w:szCs w:val="32"/>
                        </w:rPr>
                        <w:t xml:space="preserve"> - </w:t>
                      </w:r>
                      <w:r w:rsidR="00345597">
                        <w:rPr>
                          <w:rFonts w:ascii="Calibri" w:hAnsi="Calibri" w:cs="Calibri"/>
                          <w:b/>
                          <w:bCs/>
                          <w:color w:val="EEECE1"/>
                          <w:sz w:val="32"/>
                          <w:szCs w:val="32"/>
                        </w:rPr>
                        <w:t>42</w:t>
                      </w:r>
                    </w:p>
                  </w:txbxContent>
                </v:textbox>
                <w10:wrap type="square" anchorx="margin" anchory="margin"/>
              </v:roundrect>
            </w:pict>
          </mc:Fallback>
        </mc:AlternateContent>
      </w:r>
    </w:p>
    <w:p w14:paraId="0F48B892" w14:textId="77777777" w:rsidR="00BA0AE2" w:rsidRDefault="00BA0AE2" w:rsidP="00BA0AE2">
      <w:pPr>
        <w:jc w:val="center"/>
        <w:rPr>
          <w:b/>
        </w:rPr>
      </w:pPr>
      <w:bookmarkStart w:id="2" w:name="_Toc238152352"/>
      <w:bookmarkStart w:id="3" w:name="_Toc238452888"/>
      <w:bookmarkStart w:id="4" w:name="_Toc238453709"/>
      <w:bookmarkStart w:id="5" w:name="_Toc238453998"/>
      <w:bookmarkStart w:id="6" w:name="_Toc241047063"/>
      <w:bookmarkStart w:id="7" w:name="_Toc241049641"/>
      <w:bookmarkStart w:id="8" w:name="_Toc241385779"/>
      <w:bookmarkStart w:id="9" w:name="_Toc245490349"/>
      <w:bookmarkStart w:id="10" w:name="_Toc245733658"/>
      <w:bookmarkStart w:id="11" w:name="_Toc249233202"/>
      <w:bookmarkStart w:id="12" w:name="_Toc252145764"/>
      <w:bookmarkStart w:id="13" w:name="_Toc252145912"/>
      <w:bookmarkStart w:id="14" w:name="_Toc252781841"/>
      <w:bookmarkStart w:id="15" w:name="_Toc252783040"/>
      <w:bookmarkStart w:id="16" w:name="_Toc252783296"/>
      <w:bookmarkStart w:id="17" w:name="_Toc252783613"/>
      <w:bookmarkStart w:id="18" w:name="_Toc252783900"/>
      <w:bookmarkStart w:id="19" w:name="_Toc252784281"/>
      <w:bookmarkStart w:id="20" w:name="_Toc259577983"/>
      <w:bookmarkStart w:id="21" w:name="_Toc259578339"/>
      <w:bookmarkStart w:id="22" w:name="_Toc260506388"/>
      <w:bookmarkStart w:id="23" w:name="_Toc260506614"/>
      <w:bookmarkStart w:id="24" w:name="_Toc260506840"/>
      <w:bookmarkStart w:id="25" w:name="_Toc262929369"/>
      <w:bookmarkStart w:id="26" w:name="_Toc262929614"/>
      <w:bookmarkStart w:id="27" w:name="_Toc262930009"/>
      <w:bookmarkStart w:id="28" w:name="_Toc262930402"/>
      <w:bookmarkStart w:id="29" w:name="_Toc262930645"/>
      <w:bookmarkStart w:id="30" w:name="_Toc262930888"/>
      <w:bookmarkStart w:id="31" w:name="_Toc262935855"/>
      <w:bookmarkStart w:id="32" w:name="_Toc277675557"/>
      <w:bookmarkStart w:id="33" w:name="_Toc277675811"/>
      <w:bookmarkStart w:id="34" w:name="_Toc277675976"/>
      <w:bookmarkStart w:id="35" w:name="_Toc277676224"/>
      <w:bookmarkStart w:id="36" w:name="_Toc277676385"/>
      <w:bookmarkStart w:id="37" w:name="_Toc277676566"/>
      <w:bookmarkStart w:id="38" w:name="_Toc277677023"/>
      <w:bookmarkStart w:id="39" w:name="_Toc277677424"/>
      <w:bookmarkStart w:id="40" w:name="_Toc277677991"/>
      <w:bookmarkStart w:id="41" w:name="_Toc277678295"/>
      <w:bookmarkStart w:id="42" w:name="_Toc277678627"/>
      <w:bookmarkStart w:id="43" w:name="_Toc291249452"/>
      <w:bookmarkStart w:id="44" w:name="_Toc291249699"/>
      <w:bookmarkStart w:id="45" w:name="_Toc291249980"/>
      <w:bookmarkStart w:id="46" w:name="_Toc291250478"/>
      <w:bookmarkStart w:id="47" w:name="_Toc291250724"/>
      <w:bookmarkStart w:id="48" w:name="_Toc291250970"/>
      <w:bookmarkStart w:id="49" w:name="_Toc291251217"/>
      <w:bookmarkStart w:id="50" w:name="_Toc291251498"/>
      <w:bookmarkStart w:id="51" w:name="_Toc291251744"/>
      <w:bookmarkStart w:id="52" w:name="_Toc291251990"/>
      <w:bookmarkStart w:id="53" w:name="_Toc291252236"/>
      <w:bookmarkStart w:id="54" w:name="_Toc291252308"/>
      <w:bookmarkStart w:id="55" w:name="_Toc298177813"/>
      <w:bookmarkStart w:id="56" w:name="_Hlk151498973"/>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14:paraId="2927FD2F" w14:textId="77777777" w:rsidR="007B43D0" w:rsidRPr="007B43D0" w:rsidRDefault="007B43D0" w:rsidP="007B43D0">
      <w:pPr>
        <w:spacing w:after="160"/>
        <w:jc w:val="center"/>
        <w:rPr>
          <w:rFonts w:ascii="Calibri" w:eastAsia="Calibri" w:hAnsi="Calibri" w:cs="Calibri"/>
          <w:b/>
          <w:lang w:val="en-GB" w:eastAsia="en-US"/>
        </w:rPr>
      </w:pPr>
      <w:r w:rsidRPr="007B43D0">
        <w:rPr>
          <w:rFonts w:ascii="Calibri" w:eastAsia="Calibri" w:hAnsi="Calibri" w:cs="Calibri"/>
          <w:b/>
          <w:lang w:val="en-GB" w:eastAsia="en-US"/>
        </w:rPr>
        <w:t>Autocratic Legalism through Anti-Corruption Strategies and Agencies: A Case Study of Nigeria</w:t>
      </w:r>
    </w:p>
    <w:p w14:paraId="0F9D8DAD" w14:textId="5E4948DC" w:rsidR="00DE5841" w:rsidRDefault="002D73AC" w:rsidP="00FF06FF">
      <w:pPr>
        <w:jc w:val="right"/>
        <w:rPr>
          <w:rFonts w:ascii="Calibri" w:hAnsi="Calibri" w:cs="Calibri"/>
          <w:b/>
          <w:bCs/>
        </w:rPr>
      </w:pPr>
      <w:r w:rsidRPr="007B4342">
        <w:rPr>
          <w:rFonts w:ascii="Calibri" w:hAnsi="Calibri" w:cs="Calibri"/>
        </w:rPr>
        <w:t xml:space="preserve">Usang </w:t>
      </w:r>
      <w:r w:rsidR="00DE5841" w:rsidRPr="007B4342">
        <w:rPr>
          <w:rFonts w:ascii="Calibri" w:hAnsi="Calibri" w:cs="Calibri"/>
        </w:rPr>
        <w:t>Maria</w:t>
      </w:r>
      <w:r w:rsidR="00C149AF" w:rsidRPr="007B4342">
        <w:rPr>
          <w:rFonts w:ascii="Calibri" w:hAnsi="Calibri" w:cs="Calibri"/>
        </w:rPr>
        <w:t xml:space="preserve"> Assim</w:t>
      </w:r>
      <w:r w:rsidR="00C61E41" w:rsidRPr="007B4342">
        <w:rPr>
          <w:rStyle w:val="FootnoteReference"/>
          <w:rFonts w:ascii="Calibri" w:hAnsi="Calibri" w:cs="Calibri"/>
        </w:rPr>
        <w:footnoteReference w:customMarkFollows="1" w:id="1"/>
        <w:t>*</w:t>
      </w:r>
    </w:p>
    <w:p w14:paraId="2A50D607" w14:textId="27026E8D" w:rsidR="00DE5841" w:rsidRPr="002F4E00" w:rsidRDefault="00C61E41" w:rsidP="00C61E41">
      <w:pPr>
        <w:jc w:val="right"/>
        <w:rPr>
          <w:rFonts w:ascii="Calibri" w:hAnsi="Calibri" w:cs="Calibri"/>
          <w:b/>
        </w:rPr>
      </w:pPr>
      <w:r w:rsidRPr="00C61E41">
        <w:rPr>
          <w:rFonts w:ascii="Calibri" w:hAnsi="Calibri" w:cs="Calibri"/>
        </w:rPr>
        <w:t>Deborah Damilola Adeyemo</w:t>
      </w:r>
      <w:r>
        <w:rPr>
          <w:rStyle w:val="FootnoteReference"/>
          <w:rFonts w:ascii="Calibri" w:hAnsi="Calibri" w:cs="Calibri"/>
        </w:rPr>
        <w:footnoteReference w:customMarkFollows="1" w:id="2"/>
        <w:t>**</w:t>
      </w:r>
    </w:p>
    <w:p w14:paraId="7E28B5B5" w14:textId="14DD97F2" w:rsidR="007B43D0" w:rsidRPr="007B43D0" w:rsidRDefault="002F4E00" w:rsidP="007B43D0">
      <w:pPr>
        <w:spacing w:after="160"/>
        <w:rPr>
          <w:rFonts w:ascii="Calibri" w:eastAsia="Calibri" w:hAnsi="Calibri" w:cs="Calibri"/>
          <w:b/>
          <w:lang w:val="en-GB" w:eastAsia="en-US"/>
        </w:rPr>
      </w:pPr>
      <w:r w:rsidRPr="002F4E00">
        <w:rPr>
          <w:rFonts w:ascii="Calibri" w:eastAsia="Calibri" w:hAnsi="Calibri" w:cs="Calibri"/>
          <w:b/>
          <w:lang w:val="en-GB" w:eastAsia="en-US"/>
        </w:rPr>
        <w:t>ABSTRACT</w:t>
      </w:r>
    </w:p>
    <w:p w14:paraId="7ACFE573" w14:textId="07C57E90" w:rsidR="007B43D0" w:rsidRDefault="007B43D0" w:rsidP="007B43D0">
      <w:pPr>
        <w:spacing w:after="160"/>
        <w:jc w:val="both"/>
        <w:rPr>
          <w:rFonts w:ascii="Calibri" w:eastAsia="Calibri" w:hAnsi="Calibri" w:cs="Calibri"/>
          <w:lang w:val="en-GB" w:eastAsia="en-US"/>
        </w:rPr>
      </w:pPr>
      <w:r w:rsidRPr="007B43D0">
        <w:rPr>
          <w:rFonts w:ascii="Calibri" w:eastAsia="Calibri" w:hAnsi="Calibri" w:cs="Calibri"/>
          <w:lang w:val="en-GB" w:eastAsia="en-US"/>
        </w:rPr>
        <w:t>One of the hallmarks of the transition to constitutional democracy in Nigeria is the consolidation of an overarching anti-corruption strategy. After several years of successive military rule, Nigeria transited to a democratic dispensation in 1999. On the heels of this transition was the institution of the crusade against corruption which is often blamed as the progenitor of all the ills in Nigeria. In over two decades after the transition and the commencement of the anti-corruption crusade, it would seem that the anti-corruption strategies of the different administrations are targeted at perceived opponents and influenced by the private interests of political elites. The paper examines the operation of anti-corruption agencies (ACAs) as tools to entrench autocratic legalism in Nigeria. It interrogates the narrative that successive democratic administrations manipulate ACAs to perpetuate oppression and selectively apply anti-corruption mechanisms. The paper is purely doctrinal and adopts a desktop legal research approach. The paper examines whether purported anti-corruption strategies by different administrations are exploited to mask their rent-seeking tendencies. The political manipulations of prosecutorial authorities, selective prosecution by ACAs, indiscriminate application of plea bargain and abuse of court process do not only undermine anti-corruption efforts but subtly perpetuate autocratic legalism in Nigeria.</w:t>
      </w:r>
    </w:p>
    <w:p w14:paraId="3E95149B" w14:textId="77777777" w:rsidR="00CA5964" w:rsidRPr="007B43D0" w:rsidRDefault="00CA5964" w:rsidP="00CA5964">
      <w:pPr>
        <w:pStyle w:val="NoSpacing"/>
        <w:rPr>
          <w:lang w:val="en-GB"/>
        </w:rPr>
      </w:pPr>
    </w:p>
    <w:p w14:paraId="14A260FE" w14:textId="7F1F5768" w:rsidR="007B43D0" w:rsidRDefault="007B43D0" w:rsidP="007B43D0">
      <w:pPr>
        <w:spacing w:after="160" w:line="360" w:lineRule="auto"/>
        <w:jc w:val="both"/>
        <w:rPr>
          <w:rFonts w:ascii="Calibri" w:eastAsia="Calibri" w:hAnsi="Calibri" w:cs="Calibri"/>
          <w:i/>
          <w:lang w:val="en-GB" w:eastAsia="en-US"/>
        </w:rPr>
      </w:pPr>
      <w:r w:rsidRPr="007B43D0">
        <w:rPr>
          <w:rFonts w:ascii="Calibri" w:eastAsia="Calibri" w:hAnsi="Calibri" w:cs="Calibri"/>
          <w:b/>
          <w:lang w:val="en-GB" w:eastAsia="en-US"/>
        </w:rPr>
        <w:t>Keywords</w:t>
      </w:r>
      <w:r w:rsidRPr="007B43D0">
        <w:rPr>
          <w:rFonts w:ascii="Calibri" w:eastAsia="Calibri" w:hAnsi="Calibri" w:cs="Calibri"/>
          <w:lang w:val="en-GB" w:eastAsia="en-US"/>
        </w:rPr>
        <w:t xml:space="preserve">: </w:t>
      </w:r>
      <w:r w:rsidRPr="007B43D0">
        <w:rPr>
          <w:rFonts w:ascii="Calibri" w:eastAsia="Calibri" w:hAnsi="Calibri" w:cs="Calibri"/>
          <w:i/>
          <w:lang w:val="en-GB" w:eastAsia="en-US"/>
        </w:rPr>
        <w:t>Transition, Democratic, Corruption</w:t>
      </w:r>
      <w:r w:rsidRPr="007B43D0">
        <w:rPr>
          <w:rFonts w:ascii="Calibri" w:eastAsia="Calibri" w:hAnsi="Calibri" w:cs="Calibri"/>
          <w:lang w:val="en-GB" w:eastAsia="en-US"/>
        </w:rPr>
        <w:t xml:space="preserve">, </w:t>
      </w:r>
      <w:r w:rsidRPr="007B43D0">
        <w:rPr>
          <w:rFonts w:ascii="Calibri" w:eastAsia="Calibri" w:hAnsi="Calibri" w:cs="Calibri"/>
          <w:i/>
          <w:lang w:val="en-GB" w:eastAsia="en-US"/>
        </w:rPr>
        <w:t>Administration, Prosecution, Anti-Corruption Agencies, Economic and Financial Crimes, Nigeria</w:t>
      </w:r>
    </w:p>
    <w:p w14:paraId="706927EA" w14:textId="0D2D3505" w:rsidR="002F4E00" w:rsidRPr="00CA5964" w:rsidRDefault="002F4E00" w:rsidP="00CA5964">
      <w:pPr>
        <w:pStyle w:val="NoSpacing"/>
      </w:pPr>
    </w:p>
    <w:p w14:paraId="4B701B59" w14:textId="77777777" w:rsidR="002F4E00" w:rsidRPr="007B43D0" w:rsidRDefault="002F4E00" w:rsidP="007B43D0">
      <w:pPr>
        <w:spacing w:after="160" w:line="360" w:lineRule="auto"/>
        <w:jc w:val="both"/>
        <w:rPr>
          <w:rFonts w:ascii="Calibri" w:eastAsia="Calibri" w:hAnsi="Calibri" w:cs="Calibri"/>
          <w:lang w:val="en-GB" w:eastAsia="en-US"/>
        </w:rPr>
      </w:pPr>
    </w:p>
    <w:p w14:paraId="346FBFA0" w14:textId="63B70333" w:rsidR="007B43D0" w:rsidRPr="002F4E00" w:rsidRDefault="007B43D0" w:rsidP="002F4E00">
      <w:pPr>
        <w:pStyle w:val="ListParagraph"/>
        <w:numPr>
          <w:ilvl w:val="0"/>
          <w:numId w:val="2"/>
        </w:numPr>
        <w:spacing w:after="160" w:line="360" w:lineRule="auto"/>
        <w:jc w:val="both"/>
        <w:rPr>
          <w:rFonts w:ascii="Calibri" w:eastAsia="Calibri" w:hAnsi="Calibri" w:cs="Calibri"/>
          <w:b/>
          <w:lang w:val="en-GB" w:eastAsia="en-US"/>
        </w:rPr>
      </w:pPr>
      <w:r w:rsidRPr="002F4E00">
        <w:rPr>
          <w:rFonts w:ascii="Calibri" w:eastAsia="Calibri" w:hAnsi="Calibri" w:cs="Calibri"/>
          <w:b/>
          <w:lang w:val="en-GB" w:eastAsia="en-US"/>
        </w:rPr>
        <w:lastRenderedPageBreak/>
        <w:t>Introduction</w:t>
      </w:r>
    </w:p>
    <w:p w14:paraId="3E171E50" w14:textId="77777777" w:rsidR="007B43D0" w:rsidRPr="007B43D0" w:rsidRDefault="007B43D0" w:rsidP="007B43D0">
      <w:pPr>
        <w:spacing w:after="160" w:line="360" w:lineRule="auto"/>
        <w:jc w:val="both"/>
        <w:rPr>
          <w:rFonts w:ascii="Calibri" w:eastAsia="Calibri" w:hAnsi="Calibri" w:cs="Calibri"/>
          <w:lang w:val="en-GB" w:eastAsia="en-US"/>
        </w:rPr>
      </w:pPr>
      <w:r w:rsidRPr="007B43D0">
        <w:rPr>
          <w:rFonts w:ascii="Calibri" w:eastAsia="Calibri" w:hAnsi="Calibri" w:cs="Calibri"/>
          <w:lang w:val="en-GB" w:eastAsia="en-US"/>
        </w:rPr>
        <w:t>The years of successive military rule in Nigeria before the transition to a democratic dispensation in 1999 left indelible imprints on the political landscape. This would subsequently impact the disposition of successive civilian governments to the rule of law and constitutionalism. The transitional government which midwifed the birth of a democratic rule in 1999 was headed by the military. The first democratic administration after the transition seemed to recycle the former military leaders by cloaking them in civilian outlook and representing them as democrats. Successive democratic administrations have recurrently recycled the same crop of leaders now masked as advocates of democracy. Autocratic legalism underscores the general abuse of the rule of law and the subtle legitimisation of the autocratic disposition of supposed democratic government. Generally, the assertion that grand corruption is one of the ills and legacies of the military dispensation in Nigeria is not unfounded. While it is indisputable that corruption in Nigeria predated the military regimes in Nigeria, studies have established a phenomenal increase in corruption during the military regimes in Nigeria. Ironically, allegations of corruption were always one of the reasons for the successive coups that enthroned military governments in Nigeria.</w:t>
      </w:r>
    </w:p>
    <w:p w14:paraId="17F2BDF4" w14:textId="77777777" w:rsidR="007B43D0" w:rsidRPr="007B43D0" w:rsidRDefault="007B43D0" w:rsidP="002F4E00">
      <w:pPr>
        <w:spacing w:after="160" w:line="360" w:lineRule="auto"/>
        <w:ind w:firstLine="720"/>
        <w:jc w:val="both"/>
        <w:rPr>
          <w:rFonts w:ascii="Calibri" w:eastAsia="Calibri" w:hAnsi="Calibri" w:cs="Calibri"/>
          <w:lang w:val="en-GB" w:eastAsia="en-US"/>
        </w:rPr>
      </w:pPr>
      <w:r w:rsidRPr="007B43D0">
        <w:rPr>
          <w:rFonts w:ascii="Calibri" w:eastAsia="Calibri" w:hAnsi="Calibri" w:cs="Calibri"/>
          <w:lang w:val="en-GB" w:eastAsia="en-US"/>
        </w:rPr>
        <w:t>Over the decades, corruption has been portrayed as the ‘hydra-headed monster’ Nigeria has had to face and fight. Successive democratic governments since 1999 always had specially designed strategies purportedly designed to combat corruption. From the establishment of principal anti-corruption agencies (ACAs) in the early 2000s to the purported international cooperation on the recovery of proceeds of corruption, democratic governments have deployed different strategies in their anti-corruption campaign. Despite the concerted efforts against corruption, it remains pervasive.</w:t>
      </w:r>
      <w:r w:rsidRPr="002F4E00">
        <w:rPr>
          <w:rFonts w:ascii="Calibri" w:eastAsia="Calibri" w:hAnsi="Calibri" w:cs="Calibri"/>
          <w:vertAlign w:val="superscript"/>
          <w:lang w:val="en-GB" w:eastAsia="en-US"/>
        </w:rPr>
        <w:footnoteReference w:id="3"/>
      </w:r>
      <w:r w:rsidRPr="007B43D0">
        <w:rPr>
          <w:rFonts w:ascii="Calibri" w:eastAsia="Calibri" w:hAnsi="Calibri" w:cs="Calibri"/>
          <w:lang w:val="en-GB" w:eastAsia="en-US"/>
        </w:rPr>
        <w:t xml:space="preserve"> It would seem that successive governments only wield the instrument of the law as a double-edged sword in their anti-corruption. Each democratic dispensation appears to subtly shield their corrupt activities </w:t>
      </w:r>
      <w:r w:rsidRPr="007B43D0">
        <w:rPr>
          <w:rFonts w:ascii="Calibri" w:eastAsia="Calibri" w:hAnsi="Calibri" w:cs="Calibri"/>
          <w:lang w:val="en-GB" w:eastAsia="en-US"/>
        </w:rPr>
        <w:lastRenderedPageBreak/>
        <w:t>while clamping down on corrupt political opponents, within the same legal framework against corruption.</w:t>
      </w:r>
    </w:p>
    <w:p w14:paraId="566DF9C7" w14:textId="5788CB48" w:rsidR="007B43D0" w:rsidRDefault="007B43D0" w:rsidP="002F4E00">
      <w:pPr>
        <w:spacing w:after="160" w:line="360" w:lineRule="auto"/>
        <w:ind w:firstLine="720"/>
        <w:jc w:val="both"/>
        <w:rPr>
          <w:rFonts w:ascii="Calibri" w:eastAsia="Calibri" w:hAnsi="Calibri" w:cs="Calibri"/>
          <w:lang w:val="en-GB" w:eastAsia="en-US"/>
        </w:rPr>
      </w:pPr>
      <w:r w:rsidRPr="007B43D0">
        <w:rPr>
          <w:rFonts w:ascii="Calibri" w:eastAsia="Calibri" w:hAnsi="Calibri" w:cs="Calibri"/>
          <w:lang w:val="en-GB" w:eastAsia="en-US"/>
        </w:rPr>
        <w:t>This paper focuses on the theme of autocratic legalism within the context of anti-corruption efforts of successive democratic governments since 1999. The paper is divided into five sections. The first section provides an introductory background on the Nigerian political landscape against the backdrop of the transition to a democratic regime and anti-corruption effort. The second section discusses the principal anti-corruption strategy since the transition to democratic government from the creation of specialised anti-corruption agencies to anti-corruption policies targeted at specific public institutions. The third section analyses the operations and activities of the principal ACAs over the last two decades. The section examines the ACAs in line with the provisions of their establishment Acts and the provisions of international legal instruments such as the United Nations Convention Against Corruption (UNCAC) and the African Union Convention on Preventing and Combating Corruption (AUCPCC). The fourth section interrogates the concept of autocratic legalism in anti-corruption strategies in Nigeria. This section focuses on the activities of principal ACAs ranging from investigation, prosecution, and execution of court judgments. The section evaluates the ACAs against the concepts of independence, transparency, and impartiality. The final section makes final remarks and recommendations flowing from some of the identified issues in the previous sections.</w:t>
      </w:r>
    </w:p>
    <w:p w14:paraId="35EB7AAC" w14:textId="77777777" w:rsidR="002F4E00" w:rsidRPr="007B43D0" w:rsidRDefault="002F4E00" w:rsidP="00345597">
      <w:pPr>
        <w:pStyle w:val="NoSpacing"/>
        <w:rPr>
          <w:lang w:val="en-GB"/>
        </w:rPr>
      </w:pPr>
    </w:p>
    <w:p w14:paraId="541433B7" w14:textId="503E927C" w:rsidR="007B43D0" w:rsidRPr="002F4E00" w:rsidRDefault="007B43D0" w:rsidP="002F4E00">
      <w:pPr>
        <w:pStyle w:val="ListParagraph"/>
        <w:numPr>
          <w:ilvl w:val="0"/>
          <w:numId w:val="2"/>
        </w:numPr>
        <w:spacing w:after="160" w:line="360" w:lineRule="auto"/>
        <w:jc w:val="both"/>
        <w:rPr>
          <w:rFonts w:ascii="Calibri" w:eastAsia="Calibri" w:hAnsi="Calibri" w:cs="Calibri"/>
          <w:b/>
          <w:lang w:val="en-GB" w:eastAsia="en-US"/>
        </w:rPr>
      </w:pPr>
      <w:r w:rsidRPr="002F4E00">
        <w:rPr>
          <w:rFonts w:ascii="Calibri" w:eastAsia="Calibri" w:hAnsi="Calibri" w:cs="Calibri"/>
          <w:b/>
          <w:lang w:val="en-GB" w:eastAsia="en-US"/>
        </w:rPr>
        <w:t>Anti-Corruption Strategy in Nigeria Post-1999 Transition</w:t>
      </w:r>
    </w:p>
    <w:p w14:paraId="2610C6F4" w14:textId="77777777" w:rsidR="007B43D0" w:rsidRPr="007B43D0" w:rsidRDefault="007B43D0" w:rsidP="007B43D0">
      <w:pPr>
        <w:spacing w:after="160" w:line="360" w:lineRule="auto"/>
        <w:jc w:val="both"/>
        <w:rPr>
          <w:rFonts w:ascii="Calibri" w:eastAsia="Calibri" w:hAnsi="Calibri" w:cs="Calibri"/>
          <w:lang w:val="en-GB" w:eastAsia="en-US"/>
        </w:rPr>
      </w:pPr>
      <w:r w:rsidRPr="007B43D0">
        <w:rPr>
          <w:rFonts w:ascii="Calibri" w:eastAsia="Calibri" w:hAnsi="Calibri" w:cs="Calibri"/>
          <w:lang w:val="en-GB" w:eastAsia="en-US"/>
        </w:rPr>
        <w:t xml:space="preserve">Since the transition to democratic government in 1999, successive administrations have made anti-corruption strategy a key point in their governance agenda. With each successive administration, the anti-corruption campaign has been intensified. However, the debate has often been </w:t>
      </w:r>
      <w:proofErr w:type="spellStart"/>
      <w:r w:rsidRPr="007B43D0">
        <w:rPr>
          <w:rFonts w:ascii="Calibri" w:eastAsia="Calibri" w:hAnsi="Calibri" w:cs="Calibri"/>
          <w:lang w:val="en-GB" w:eastAsia="en-US"/>
        </w:rPr>
        <w:t>centered</w:t>
      </w:r>
      <w:proofErr w:type="spellEnd"/>
      <w:r w:rsidRPr="007B43D0">
        <w:rPr>
          <w:rFonts w:ascii="Calibri" w:eastAsia="Calibri" w:hAnsi="Calibri" w:cs="Calibri"/>
          <w:lang w:val="en-GB" w:eastAsia="en-US"/>
        </w:rPr>
        <w:t xml:space="preserve"> around the effectiveness and authenticity of the efforts. Each administration since 1999 has adopted different forms of anti-corruption strategy which are often rooted in hidden political agendas.</w:t>
      </w:r>
      <w:r w:rsidRPr="002F4E00">
        <w:rPr>
          <w:rFonts w:ascii="Calibri" w:eastAsia="Calibri" w:hAnsi="Calibri" w:cs="Calibri"/>
          <w:vertAlign w:val="superscript"/>
          <w:lang w:val="en-GB" w:eastAsia="en-US"/>
        </w:rPr>
        <w:footnoteReference w:id="4"/>
      </w:r>
      <w:r w:rsidRPr="007B43D0">
        <w:rPr>
          <w:rFonts w:ascii="Calibri" w:eastAsia="Calibri" w:hAnsi="Calibri" w:cs="Calibri"/>
          <w:lang w:val="en-GB" w:eastAsia="en-US"/>
        </w:rPr>
        <w:t xml:space="preserve"> The strategy ranges from legislative to institutional </w:t>
      </w:r>
      <w:r w:rsidRPr="007B43D0">
        <w:rPr>
          <w:rFonts w:ascii="Calibri" w:eastAsia="Calibri" w:hAnsi="Calibri" w:cs="Calibri"/>
          <w:lang w:val="en-GB" w:eastAsia="en-US"/>
        </w:rPr>
        <w:lastRenderedPageBreak/>
        <w:t>frameworks and implementation agendas to combat corruption at different levels.  In 2017, Nigeria developed a four-year national anti-corruption strategy from 2017-2021 built on five core areas of prevention, public engagement, ethical re-orientation, enforcement and sanctions, recovery and management of proceeds of corruption.</w:t>
      </w:r>
      <w:r w:rsidRPr="002F4E00">
        <w:rPr>
          <w:rFonts w:ascii="Calibri" w:eastAsia="Calibri" w:hAnsi="Calibri" w:cs="Calibri"/>
          <w:vertAlign w:val="superscript"/>
          <w:lang w:val="en-GB" w:eastAsia="en-US"/>
        </w:rPr>
        <w:footnoteReference w:id="5"/>
      </w:r>
      <w:r w:rsidRPr="007B43D0">
        <w:rPr>
          <w:rFonts w:ascii="Calibri" w:eastAsia="Calibri" w:hAnsi="Calibri" w:cs="Calibri"/>
          <w:lang w:val="en-GB" w:eastAsia="en-US"/>
        </w:rPr>
        <w:t xml:space="preserve"> In 2022, the implementation of the 2017 strategy was extended for another period of five years from 2022-2027.</w:t>
      </w:r>
      <w:r w:rsidRPr="002F4E00">
        <w:rPr>
          <w:rFonts w:ascii="Calibri" w:eastAsia="Calibri" w:hAnsi="Calibri" w:cs="Calibri"/>
          <w:vertAlign w:val="superscript"/>
          <w:lang w:val="en-GB" w:eastAsia="en-US"/>
        </w:rPr>
        <w:footnoteReference w:id="6"/>
      </w:r>
      <w:r w:rsidRPr="007B43D0">
        <w:rPr>
          <w:rFonts w:ascii="Calibri" w:eastAsia="Calibri" w:hAnsi="Calibri" w:cs="Calibri"/>
          <w:lang w:val="en-GB" w:eastAsia="en-US"/>
        </w:rPr>
        <w:t xml:space="preserve"> The principal anti-corruption agencies form part of the institutions with strategic roles in implementing the strategy. Hence, this paper focuses more on the ACAs because they are the key drivers of the anti-corruption agenda of the successive governments.</w:t>
      </w:r>
    </w:p>
    <w:p w14:paraId="6CAD3F74" w14:textId="77777777" w:rsidR="007B43D0" w:rsidRPr="007B43D0" w:rsidRDefault="007B43D0" w:rsidP="002F4E00">
      <w:pPr>
        <w:numPr>
          <w:ilvl w:val="0"/>
          <w:numId w:val="2"/>
        </w:numPr>
        <w:spacing w:after="160" w:line="360" w:lineRule="auto"/>
        <w:ind w:left="360"/>
        <w:jc w:val="both"/>
        <w:rPr>
          <w:rFonts w:ascii="Calibri" w:eastAsia="Calibri" w:hAnsi="Calibri" w:cs="Calibri"/>
          <w:b/>
          <w:lang w:val="en-GB" w:eastAsia="en-US"/>
        </w:rPr>
      </w:pPr>
      <w:r w:rsidRPr="007B43D0">
        <w:rPr>
          <w:rFonts w:ascii="Calibri" w:eastAsia="Calibri" w:hAnsi="Calibri" w:cs="Calibri"/>
          <w:b/>
          <w:lang w:val="en-GB" w:eastAsia="en-US"/>
        </w:rPr>
        <w:t>The Principal Anti-Corruption Agencies in Nigeria</w:t>
      </w:r>
    </w:p>
    <w:p w14:paraId="4D68238D" w14:textId="77777777" w:rsidR="007B43D0" w:rsidRPr="007B43D0" w:rsidRDefault="007B43D0" w:rsidP="007B43D0">
      <w:pPr>
        <w:spacing w:after="160" w:line="360" w:lineRule="auto"/>
        <w:jc w:val="both"/>
        <w:rPr>
          <w:rFonts w:ascii="Calibri" w:eastAsia="Calibri" w:hAnsi="Calibri" w:cs="Calibri"/>
          <w:lang w:val="en-GB" w:eastAsia="en-US"/>
        </w:rPr>
      </w:pPr>
      <w:r w:rsidRPr="007B43D0">
        <w:rPr>
          <w:rFonts w:ascii="Calibri" w:eastAsia="Calibri" w:hAnsi="Calibri" w:cs="Calibri"/>
          <w:lang w:val="en-GB" w:eastAsia="en-US"/>
        </w:rPr>
        <w:t>Nigeria is state party to the United Nations Convention Against Corruption (UNCAC)</w:t>
      </w:r>
      <w:r w:rsidRPr="002F4E00">
        <w:rPr>
          <w:rFonts w:ascii="Calibri" w:eastAsia="Calibri" w:hAnsi="Calibri" w:cs="Calibri"/>
          <w:vertAlign w:val="superscript"/>
          <w:lang w:val="en-GB" w:eastAsia="en-US"/>
        </w:rPr>
        <w:footnoteReference w:id="7"/>
      </w:r>
      <w:r w:rsidRPr="007B43D0">
        <w:rPr>
          <w:rFonts w:ascii="Calibri" w:eastAsia="Calibri" w:hAnsi="Calibri" w:cs="Calibri"/>
          <w:lang w:val="en-GB" w:eastAsia="en-US"/>
        </w:rPr>
        <w:t xml:space="preserve"> and the African Union Convention on Preventing and Combating Corruption (AUCPCC)</w:t>
      </w:r>
      <w:r w:rsidRPr="002F4E00">
        <w:rPr>
          <w:rFonts w:ascii="Calibri" w:eastAsia="Calibri" w:hAnsi="Calibri" w:cs="Calibri"/>
          <w:vertAlign w:val="superscript"/>
          <w:lang w:val="en-GB" w:eastAsia="en-US"/>
        </w:rPr>
        <w:footnoteReference w:id="8"/>
      </w:r>
      <w:r w:rsidRPr="007B43D0">
        <w:rPr>
          <w:rFonts w:ascii="Calibri" w:eastAsia="Calibri" w:hAnsi="Calibri" w:cs="Calibri"/>
          <w:lang w:val="en-GB" w:eastAsia="en-US"/>
        </w:rPr>
        <w:t xml:space="preserve"> which make comprehensive provisions on combating corruption.</w:t>
      </w:r>
      <w:r w:rsidRPr="002F4E00">
        <w:rPr>
          <w:rFonts w:ascii="Calibri" w:eastAsia="Calibri" w:hAnsi="Calibri" w:cs="Calibri"/>
          <w:vertAlign w:val="superscript"/>
          <w:lang w:val="en-GB" w:eastAsia="en-US"/>
        </w:rPr>
        <w:footnoteReference w:id="9"/>
      </w:r>
      <w:r w:rsidRPr="007B43D0">
        <w:rPr>
          <w:rFonts w:ascii="Calibri" w:eastAsia="Calibri" w:hAnsi="Calibri" w:cs="Calibri"/>
          <w:lang w:val="en-GB" w:eastAsia="en-US"/>
        </w:rPr>
        <w:t xml:space="preserve"> The two conventions emphasise preventive measures, criminalisation and enforcement of law and the establishment of ACAs.</w:t>
      </w:r>
      <w:r w:rsidRPr="002F4E00">
        <w:rPr>
          <w:rFonts w:ascii="Calibri" w:eastAsia="Calibri" w:hAnsi="Calibri" w:cs="Calibri"/>
          <w:vertAlign w:val="superscript"/>
          <w:lang w:val="en-GB" w:eastAsia="en-US"/>
        </w:rPr>
        <w:footnoteReference w:id="10"/>
      </w:r>
      <w:r w:rsidRPr="007B43D0">
        <w:rPr>
          <w:rFonts w:ascii="Calibri" w:eastAsia="Calibri" w:hAnsi="Calibri" w:cs="Calibri"/>
          <w:lang w:val="en-GB" w:eastAsia="en-US"/>
        </w:rPr>
        <w:t xml:space="preserve"> The United Nations (UN) enjoins States to develop an integrated approach to anti-corruption </w:t>
      </w:r>
      <w:r w:rsidRPr="007B43D0">
        <w:rPr>
          <w:rFonts w:ascii="Calibri" w:eastAsia="Calibri" w:hAnsi="Calibri" w:cs="Calibri"/>
          <w:lang w:val="en-GB" w:eastAsia="en-US"/>
        </w:rPr>
        <w:lastRenderedPageBreak/>
        <w:t>strategy which is inclusive and comprehensive, transparent, integrated, non-partisan, evidence-based and impact-oriented.</w:t>
      </w:r>
      <w:r w:rsidRPr="002F4E00">
        <w:rPr>
          <w:rFonts w:ascii="Calibri" w:eastAsia="Calibri" w:hAnsi="Calibri" w:cs="Calibri"/>
          <w:vertAlign w:val="superscript"/>
          <w:lang w:val="en-GB" w:eastAsia="en-US"/>
        </w:rPr>
        <w:footnoteReference w:id="11"/>
      </w:r>
      <w:r w:rsidRPr="007B43D0">
        <w:rPr>
          <w:rFonts w:ascii="Calibri" w:eastAsia="Calibri" w:hAnsi="Calibri" w:cs="Calibri"/>
          <w:lang w:val="en-GB" w:eastAsia="en-US"/>
        </w:rPr>
        <w:t xml:space="preserve"> Thus, there are internationally accepted binding norms to guide the development and implementation of anti-corruption strategies and the operations of ACAs. The standard and core functions of ACAs are specifically spelt out in UNCAC. ACAs should be independent and effective bodies charged with the primary responsibilities of coordinating anti-corruption activities including preventive and reactive measures against corruption such as public education, investigation and prosecutions, providing technical assistance etc.</w:t>
      </w:r>
      <w:r w:rsidRPr="002F4E00">
        <w:rPr>
          <w:rFonts w:ascii="Calibri" w:eastAsia="Calibri" w:hAnsi="Calibri" w:cs="Calibri"/>
          <w:vertAlign w:val="superscript"/>
          <w:lang w:val="en-GB" w:eastAsia="en-US"/>
        </w:rPr>
        <w:footnoteReference w:id="12"/>
      </w:r>
      <w:r w:rsidRPr="007B43D0">
        <w:rPr>
          <w:rFonts w:ascii="Calibri" w:eastAsia="Calibri" w:hAnsi="Calibri" w:cs="Calibri"/>
          <w:lang w:val="en-GB" w:eastAsia="en-US"/>
        </w:rPr>
        <w:t xml:space="preserve"> The independence of ACAs is non-negotiable and must not erode its transparency and accountability. The independence implies freedom from political interference or manipulation and undue influence.</w:t>
      </w:r>
      <w:r w:rsidRPr="002F4E00">
        <w:rPr>
          <w:rFonts w:ascii="Calibri" w:eastAsia="Calibri" w:hAnsi="Calibri" w:cs="Calibri"/>
          <w:vertAlign w:val="superscript"/>
          <w:lang w:val="en-GB" w:eastAsia="en-US"/>
        </w:rPr>
        <w:footnoteReference w:id="13"/>
      </w:r>
    </w:p>
    <w:p w14:paraId="2F28ACF8" w14:textId="6F033752" w:rsidR="007B43D0" w:rsidRPr="007B43D0" w:rsidRDefault="007B43D0" w:rsidP="002F4E00">
      <w:pPr>
        <w:spacing w:after="160" w:line="360" w:lineRule="auto"/>
        <w:ind w:firstLine="720"/>
        <w:jc w:val="both"/>
        <w:rPr>
          <w:rFonts w:ascii="Calibri" w:eastAsia="Calibri" w:hAnsi="Calibri" w:cs="Calibri"/>
          <w:lang w:val="en-GB" w:eastAsia="en-US"/>
        </w:rPr>
      </w:pPr>
      <w:r w:rsidRPr="007B43D0">
        <w:rPr>
          <w:rFonts w:ascii="Calibri" w:eastAsia="Calibri" w:hAnsi="Calibri" w:cs="Calibri"/>
          <w:lang w:val="en-GB" w:eastAsia="en-US"/>
        </w:rPr>
        <w:t>Prior to democratic rule in 1999, there was barely any specialised anti-corruption agency.</w:t>
      </w:r>
      <w:r w:rsidRPr="002F4E00">
        <w:rPr>
          <w:rFonts w:ascii="Calibri" w:eastAsia="Calibri" w:hAnsi="Calibri" w:cs="Calibri"/>
          <w:vertAlign w:val="superscript"/>
          <w:lang w:val="en-GB" w:eastAsia="en-US"/>
        </w:rPr>
        <w:footnoteReference w:id="14"/>
      </w:r>
      <w:r w:rsidRPr="007B43D0">
        <w:rPr>
          <w:rFonts w:ascii="Calibri" w:eastAsia="Calibri" w:hAnsi="Calibri" w:cs="Calibri"/>
          <w:lang w:val="en-GB" w:eastAsia="en-US"/>
        </w:rPr>
        <w:t xml:space="preserve"> Corruption rather became entrenched and was perpetrated with impunity.</w:t>
      </w:r>
      <w:r w:rsidRPr="002F4E00">
        <w:rPr>
          <w:rFonts w:ascii="Calibri" w:eastAsia="Calibri" w:hAnsi="Calibri" w:cs="Calibri"/>
          <w:vertAlign w:val="superscript"/>
          <w:lang w:val="en-GB" w:eastAsia="en-US"/>
        </w:rPr>
        <w:footnoteReference w:id="15"/>
      </w:r>
      <w:r w:rsidRPr="007B43D0">
        <w:rPr>
          <w:rFonts w:ascii="Calibri" w:eastAsia="Calibri" w:hAnsi="Calibri" w:cs="Calibri"/>
          <w:lang w:val="en-GB" w:eastAsia="en-US"/>
        </w:rPr>
        <w:t xml:space="preserve"> Even though the military regimes made decrees purportedly aimed at combating corruption, the laws only became tools to prosecute civilian politicians perceived as enemies while exempting the corrupt allies of the military.</w:t>
      </w:r>
      <w:r w:rsidRPr="002F4E00">
        <w:rPr>
          <w:rFonts w:ascii="Calibri" w:eastAsia="Calibri" w:hAnsi="Calibri" w:cs="Calibri"/>
          <w:vertAlign w:val="superscript"/>
          <w:lang w:val="en-GB" w:eastAsia="en-US"/>
        </w:rPr>
        <w:footnoteReference w:id="16"/>
      </w:r>
      <w:r w:rsidRPr="007B43D0">
        <w:rPr>
          <w:rFonts w:ascii="Calibri" w:eastAsia="Calibri" w:hAnsi="Calibri" w:cs="Calibri"/>
          <w:lang w:val="en-GB" w:eastAsia="en-US"/>
        </w:rPr>
        <w:t xml:space="preserve"> Following transition to democratic regime in 1999 and in line with global crusade against corruption in the early 2000s,</w:t>
      </w:r>
      <w:r w:rsidRPr="002F4E00">
        <w:rPr>
          <w:rFonts w:ascii="Calibri" w:eastAsia="Calibri" w:hAnsi="Calibri" w:cs="Calibri"/>
          <w:vertAlign w:val="superscript"/>
          <w:lang w:val="en-GB" w:eastAsia="en-US"/>
        </w:rPr>
        <w:footnoteReference w:id="17"/>
      </w:r>
      <w:r w:rsidRPr="007B43D0">
        <w:rPr>
          <w:rFonts w:ascii="Calibri" w:eastAsia="Calibri" w:hAnsi="Calibri" w:cs="Calibri"/>
          <w:lang w:val="en-GB" w:eastAsia="en-US"/>
        </w:rPr>
        <w:t xml:space="preserve"> Nigeria established two </w:t>
      </w:r>
      <w:r w:rsidRPr="007B43D0">
        <w:rPr>
          <w:rFonts w:ascii="Calibri" w:eastAsia="Calibri" w:hAnsi="Calibri" w:cs="Calibri"/>
          <w:lang w:val="en-GB" w:eastAsia="en-US"/>
        </w:rPr>
        <w:lastRenderedPageBreak/>
        <w:t>principal anti-corruption agencies in an attempt to combat corruption. These agencies were established under the Independent Corrupt Practices and Other Related Offences Commission (ICPC) and the Economic and Financial Crimes Commission (EFCC) Acts.</w:t>
      </w:r>
      <w:r w:rsidRPr="002F4E00">
        <w:rPr>
          <w:rFonts w:ascii="Calibri" w:eastAsia="Calibri" w:hAnsi="Calibri" w:cs="Calibri"/>
          <w:vertAlign w:val="superscript"/>
          <w:lang w:val="en-GB" w:eastAsia="en-US"/>
        </w:rPr>
        <w:footnoteReference w:id="18"/>
      </w:r>
      <w:r w:rsidRPr="007B43D0">
        <w:rPr>
          <w:rFonts w:ascii="Calibri" w:eastAsia="Calibri" w:hAnsi="Calibri" w:cs="Calibri"/>
          <w:lang w:val="en-GB" w:eastAsia="en-US"/>
        </w:rPr>
        <w:t xml:space="preserve"> The two agencies are specialised ACAs saddled with the responsibility of investigating and prosecuting various form of corruption and allied crimes.</w:t>
      </w:r>
      <w:r w:rsidRPr="002F4E00">
        <w:rPr>
          <w:rFonts w:ascii="Calibri" w:eastAsia="Calibri" w:hAnsi="Calibri" w:cs="Calibri"/>
          <w:vertAlign w:val="superscript"/>
          <w:lang w:val="en-GB" w:eastAsia="en-US"/>
        </w:rPr>
        <w:footnoteReference w:id="19"/>
      </w:r>
    </w:p>
    <w:p w14:paraId="46806A47" w14:textId="77777777" w:rsidR="007B43D0" w:rsidRPr="007B43D0" w:rsidRDefault="007B43D0" w:rsidP="002F4E00">
      <w:pPr>
        <w:spacing w:after="160" w:line="360" w:lineRule="auto"/>
        <w:ind w:firstLine="720"/>
        <w:jc w:val="both"/>
        <w:rPr>
          <w:rFonts w:ascii="Calibri" w:eastAsia="Calibri" w:hAnsi="Calibri" w:cs="Calibri"/>
          <w:lang w:val="en-GB" w:eastAsia="en-US"/>
        </w:rPr>
      </w:pPr>
      <w:r w:rsidRPr="007B43D0">
        <w:rPr>
          <w:rFonts w:ascii="Calibri" w:eastAsia="Calibri" w:hAnsi="Calibri" w:cs="Calibri"/>
          <w:lang w:val="en-GB" w:eastAsia="en-US"/>
        </w:rPr>
        <w:t>The ICPC was established in the year 2000 with the responsibility of investigating and prosecuting corruption crimes as provided by its establishment Act.</w:t>
      </w:r>
      <w:r w:rsidRPr="002F4E00">
        <w:rPr>
          <w:rFonts w:ascii="Calibri" w:eastAsia="Calibri" w:hAnsi="Calibri" w:cs="Calibri"/>
          <w:vertAlign w:val="superscript"/>
          <w:lang w:val="en-GB" w:eastAsia="en-US"/>
        </w:rPr>
        <w:footnoteReference w:id="20"/>
      </w:r>
      <w:r w:rsidRPr="007B43D0">
        <w:rPr>
          <w:rFonts w:ascii="Calibri" w:eastAsia="Calibri" w:hAnsi="Calibri" w:cs="Calibri"/>
          <w:lang w:val="en-GB" w:eastAsia="en-US"/>
        </w:rPr>
        <w:t xml:space="preserve"> The broader roles of the ICPC include prevention, enforcement and public education on government’s anti-corruption measures. For the purpose of fulfilling its mandate the ICPC has several units and departments which are staffed accordingly. The Commission co-ordinates the Anti-corruption and Transparency Units within each of the federal government parastatals and agencies.</w:t>
      </w:r>
      <w:r w:rsidRPr="002F4E00">
        <w:rPr>
          <w:rFonts w:ascii="Calibri" w:eastAsia="Calibri" w:hAnsi="Calibri" w:cs="Calibri"/>
          <w:vertAlign w:val="superscript"/>
          <w:lang w:val="en-GB" w:eastAsia="en-US"/>
        </w:rPr>
        <w:footnoteReference w:id="21"/>
      </w:r>
      <w:r w:rsidRPr="007B43D0">
        <w:rPr>
          <w:rFonts w:ascii="Calibri" w:eastAsia="Calibri" w:hAnsi="Calibri" w:cs="Calibri"/>
          <w:lang w:val="en-GB" w:eastAsia="en-US"/>
        </w:rPr>
        <w:t xml:space="preserve"> The ICPC is funded by the federal government from the national budget allocation. Unlike the EFCC, there is no statutory provisions for external funding, hence it is limited to the allocation it gets from</w:t>
      </w:r>
      <w:r w:rsidRPr="007B43D0">
        <w:rPr>
          <w:rFonts w:ascii="Calibri" w:eastAsia="Calibri" w:hAnsi="Calibri" w:cs="Calibri"/>
          <w:color w:val="FF0000"/>
          <w:lang w:val="en-GB" w:eastAsia="en-US"/>
        </w:rPr>
        <w:t xml:space="preserve"> </w:t>
      </w:r>
      <w:r w:rsidRPr="007B43D0">
        <w:rPr>
          <w:rFonts w:ascii="Calibri" w:eastAsia="Calibri" w:hAnsi="Calibri" w:cs="Calibri"/>
          <w:lang w:val="en-GB" w:eastAsia="en-US"/>
        </w:rPr>
        <w:t>the budgetary funds. The ICPC works with educational clubs in educational institutions both at secondary and tertiary institutions</w:t>
      </w:r>
      <w:r w:rsidRPr="002F4E00">
        <w:rPr>
          <w:rFonts w:ascii="Calibri" w:eastAsia="Calibri" w:hAnsi="Calibri" w:cs="Calibri"/>
          <w:vertAlign w:val="superscript"/>
          <w:lang w:val="en-GB" w:eastAsia="en-US"/>
        </w:rPr>
        <w:footnoteReference w:id="22"/>
      </w:r>
      <w:r w:rsidRPr="007B43D0">
        <w:rPr>
          <w:rFonts w:ascii="Calibri" w:eastAsia="Calibri" w:hAnsi="Calibri" w:cs="Calibri"/>
          <w:lang w:val="en-GB" w:eastAsia="en-US"/>
        </w:rPr>
        <w:t xml:space="preserve"> and collaborates with civil societies. </w:t>
      </w:r>
    </w:p>
    <w:p w14:paraId="477A0ADF" w14:textId="77777777" w:rsidR="007B43D0" w:rsidRPr="007B43D0" w:rsidRDefault="007B43D0" w:rsidP="002F4E00">
      <w:pPr>
        <w:spacing w:after="160" w:line="360" w:lineRule="auto"/>
        <w:ind w:firstLine="720"/>
        <w:jc w:val="both"/>
        <w:rPr>
          <w:rFonts w:ascii="Calibri" w:eastAsia="Calibri" w:hAnsi="Calibri" w:cs="Calibri"/>
          <w:lang w:val="en-GB" w:eastAsia="en-US"/>
        </w:rPr>
      </w:pPr>
      <w:r w:rsidRPr="007B43D0">
        <w:rPr>
          <w:rFonts w:ascii="Calibri" w:eastAsia="Calibri" w:hAnsi="Calibri" w:cs="Calibri"/>
          <w:lang w:val="en-GB" w:eastAsia="en-US"/>
        </w:rPr>
        <w:lastRenderedPageBreak/>
        <w:t>The EFCC was established by the Economic and Financial Crimes Commission Establishment Act 2004 (EFCC Act).</w:t>
      </w:r>
      <w:r w:rsidRPr="002F4E00">
        <w:rPr>
          <w:rFonts w:ascii="Calibri" w:eastAsia="Calibri" w:hAnsi="Calibri" w:cs="Calibri"/>
          <w:vertAlign w:val="superscript"/>
          <w:lang w:val="en-GB" w:eastAsia="en-US"/>
        </w:rPr>
        <w:footnoteReference w:id="23"/>
      </w:r>
      <w:r w:rsidRPr="007B43D0">
        <w:rPr>
          <w:rFonts w:ascii="Calibri" w:eastAsia="Calibri" w:hAnsi="Calibri" w:cs="Calibri"/>
          <w:lang w:val="en-GB" w:eastAsia="en-US"/>
        </w:rPr>
        <w:t xml:space="preserve"> In the same manner as the ICPC, the mandate of the EFCC includes enforcement, prevention and education/enlightenment in its functions. The EFCC has the broad mandate of prosecuting and investigating economic and financial crimes.</w:t>
      </w:r>
      <w:r w:rsidRPr="002F4E00">
        <w:rPr>
          <w:rFonts w:ascii="Calibri" w:eastAsia="Calibri" w:hAnsi="Calibri" w:cs="Calibri"/>
          <w:vertAlign w:val="superscript"/>
          <w:lang w:val="en-GB" w:eastAsia="en-US"/>
        </w:rPr>
        <w:footnoteReference w:id="24"/>
      </w:r>
      <w:r w:rsidRPr="007B43D0">
        <w:rPr>
          <w:rFonts w:ascii="Calibri" w:eastAsia="Calibri" w:hAnsi="Calibri" w:cs="Calibri"/>
          <w:lang w:val="en-GB" w:eastAsia="en-US"/>
        </w:rPr>
        <w:t xml:space="preserve"> In fulfilling the mandate, it is charged with the responsibility of enforcing the provisions of the Act and other specified laws in respect of financial and economic crimes in Nigeria.</w:t>
      </w:r>
      <w:r w:rsidRPr="002F4E00">
        <w:rPr>
          <w:rFonts w:ascii="Calibri" w:eastAsia="Calibri" w:hAnsi="Calibri" w:cs="Calibri"/>
          <w:vertAlign w:val="superscript"/>
          <w:lang w:val="en-GB" w:eastAsia="en-US"/>
        </w:rPr>
        <w:footnoteReference w:id="25"/>
      </w:r>
      <w:r w:rsidRPr="007B43D0">
        <w:rPr>
          <w:rFonts w:ascii="Calibri" w:eastAsia="Calibri" w:hAnsi="Calibri" w:cs="Calibri"/>
          <w:lang w:val="en-GB" w:eastAsia="en-US"/>
        </w:rPr>
        <w:t xml:space="preserve">  It also has the responsibility of co-ordinating all the economic and financial crimes investigating units in Nigeria.</w:t>
      </w:r>
      <w:r w:rsidRPr="002F4E00">
        <w:rPr>
          <w:rFonts w:ascii="Calibri" w:eastAsia="Calibri" w:hAnsi="Calibri" w:cs="Calibri"/>
          <w:vertAlign w:val="superscript"/>
          <w:lang w:val="en-GB" w:eastAsia="en-US"/>
        </w:rPr>
        <w:footnoteReference w:id="26"/>
      </w:r>
      <w:r w:rsidRPr="007B43D0">
        <w:rPr>
          <w:rFonts w:ascii="Calibri" w:eastAsia="Calibri" w:hAnsi="Calibri" w:cs="Calibri"/>
          <w:lang w:val="en-GB" w:eastAsia="en-US"/>
        </w:rPr>
        <w:t xml:space="preserve"> Its mandates are essentially different from those of the ICPC and the two bodies operate independently of each other or collaborate where necessary.</w:t>
      </w:r>
      <w:r w:rsidRPr="002F4E00">
        <w:rPr>
          <w:rFonts w:ascii="Calibri" w:eastAsia="Calibri" w:hAnsi="Calibri" w:cs="Calibri"/>
          <w:vertAlign w:val="superscript"/>
          <w:lang w:val="en-GB" w:eastAsia="en-US"/>
        </w:rPr>
        <w:footnoteReference w:id="27"/>
      </w:r>
    </w:p>
    <w:p w14:paraId="2FFFE820" w14:textId="77777777" w:rsidR="007B43D0" w:rsidRPr="007B43D0" w:rsidRDefault="007B43D0" w:rsidP="007B43D0">
      <w:pPr>
        <w:spacing w:after="160" w:line="360" w:lineRule="auto"/>
        <w:jc w:val="both"/>
        <w:rPr>
          <w:rFonts w:ascii="Calibri" w:eastAsia="Calibri" w:hAnsi="Calibri" w:cs="Calibri"/>
          <w:lang w:val="en-GB" w:eastAsia="en-US"/>
        </w:rPr>
      </w:pPr>
      <w:r w:rsidRPr="007B43D0">
        <w:rPr>
          <w:rFonts w:ascii="Calibri" w:eastAsia="Calibri" w:hAnsi="Calibri" w:cs="Calibri"/>
          <w:lang w:val="en-GB" w:eastAsia="en-US"/>
        </w:rPr>
        <w:t>First, the EFCC was established when it became necessary for Nigeria to have a separate and independent financial intelligence unit following the establishment of ICPC and the blacklisting of the country on the non-cooperative territories and countries by the Financial Action Task Force in 2001.</w:t>
      </w:r>
      <w:r w:rsidRPr="002F4E00">
        <w:rPr>
          <w:rFonts w:ascii="Calibri" w:eastAsia="Calibri" w:hAnsi="Calibri" w:cs="Calibri"/>
          <w:vertAlign w:val="superscript"/>
          <w:lang w:val="en-GB" w:eastAsia="en-US"/>
        </w:rPr>
        <w:footnoteReference w:id="28"/>
      </w:r>
      <w:r w:rsidRPr="007B43D0">
        <w:rPr>
          <w:rFonts w:ascii="Calibri" w:eastAsia="Calibri" w:hAnsi="Calibri" w:cs="Calibri"/>
          <w:lang w:val="en-GB" w:eastAsia="en-US"/>
        </w:rPr>
        <w:t xml:space="preserve"> The EFCC served the purpose of a financial intelligence unit until 2018 when Nigeria established one.</w:t>
      </w:r>
      <w:r w:rsidRPr="002F4E00">
        <w:rPr>
          <w:rFonts w:ascii="Calibri" w:eastAsia="Calibri" w:hAnsi="Calibri" w:cs="Calibri"/>
          <w:vertAlign w:val="superscript"/>
          <w:lang w:val="en-GB" w:eastAsia="en-US"/>
        </w:rPr>
        <w:footnoteReference w:id="29"/>
      </w:r>
      <w:r w:rsidRPr="007B43D0">
        <w:rPr>
          <w:rFonts w:ascii="Calibri" w:eastAsia="Calibri" w:hAnsi="Calibri" w:cs="Calibri"/>
          <w:lang w:val="en-GB" w:eastAsia="en-US"/>
        </w:rPr>
        <w:t xml:space="preserve"> The focus of the ICPC is purely to tackle corruption and related crimes within public agencies and among individuals. Whereas, the EFCC has a wider mandate that incorporates financial crimes and allied offences, with a specific focus on individuals and corporate bodies. The ICPC may not concern itself with economic crimes such as money laundering and terrorism financing especially when they do not connect with public </w:t>
      </w:r>
      <w:r w:rsidRPr="007B43D0">
        <w:rPr>
          <w:rFonts w:ascii="Calibri" w:eastAsia="Calibri" w:hAnsi="Calibri" w:cs="Calibri"/>
          <w:lang w:val="en-GB" w:eastAsia="en-US"/>
        </w:rPr>
        <w:lastRenderedPageBreak/>
        <w:t>corruption.</w:t>
      </w:r>
      <w:r w:rsidRPr="002F4E00">
        <w:rPr>
          <w:rFonts w:ascii="Calibri" w:eastAsia="Calibri" w:hAnsi="Calibri" w:cs="Calibri"/>
          <w:vertAlign w:val="superscript"/>
          <w:lang w:val="en-GB" w:eastAsia="en-US"/>
        </w:rPr>
        <w:footnoteReference w:id="30"/>
      </w:r>
      <w:r w:rsidRPr="007B43D0">
        <w:rPr>
          <w:rFonts w:ascii="Calibri" w:eastAsia="Calibri" w:hAnsi="Calibri" w:cs="Calibri"/>
          <w:lang w:val="en-GB" w:eastAsia="en-US"/>
        </w:rPr>
        <w:t xml:space="preserve"> </w:t>
      </w:r>
      <w:bookmarkStart w:id="57" w:name="_Hlk180716643"/>
      <w:r w:rsidRPr="007B43D0">
        <w:rPr>
          <w:rFonts w:ascii="Calibri" w:eastAsia="Calibri" w:hAnsi="Calibri" w:cs="Calibri"/>
          <w:lang w:val="en-GB" w:eastAsia="en-US"/>
        </w:rPr>
        <w:t>The EFCC is funded based on allocation from the national budget annually. The Commission maintains a fund from which all its expenses are defrayed</w:t>
      </w:r>
      <w:bookmarkEnd w:id="57"/>
      <w:r w:rsidRPr="007B43D0">
        <w:rPr>
          <w:rFonts w:ascii="Calibri" w:eastAsia="Calibri" w:hAnsi="Calibri" w:cs="Calibri"/>
          <w:lang w:val="en-GB" w:eastAsia="en-US"/>
        </w:rPr>
        <w:t>.</w:t>
      </w:r>
      <w:r w:rsidRPr="002F4E00">
        <w:rPr>
          <w:rFonts w:ascii="Calibri" w:eastAsia="Calibri" w:hAnsi="Calibri" w:cs="Calibri"/>
          <w:vertAlign w:val="superscript"/>
          <w:lang w:val="en-GB" w:eastAsia="en-US"/>
        </w:rPr>
        <w:footnoteReference w:id="31"/>
      </w:r>
      <w:r w:rsidRPr="007B43D0">
        <w:rPr>
          <w:rFonts w:ascii="Calibri" w:eastAsia="Calibri" w:hAnsi="Calibri" w:cs="Calibri"/>
          <w:lang w:val="en-GB" w:eastAsia="en-US"/>
        </w:rPr>
        <w:t xml:space="preserve"> The </w:t>
      </w:r>
      <w:bookmarkStart w:id="58" w:name="_Hlk180716673"/>
      <w:r w:rsidRPr="007B43D0">
        <w:rPr>
          <w:rFonts w:ascii="Calibri" w:eastAsia="Calibri" w:hAnsi="Calibri" w:cs="Calibri"/>
          <w:lang w:val="en-GB" w:eastAsia="en-US"/>
        </w:rPr>
        <w:t>EFCC may also get external funding through gifts in so far as they do not contradict its objectives and functions</w:t>
      </w:r>
      <w:bookmarkEnd w:id="58"/>
      <w:r w:rsidRPr="007B43D0">
        <w:rPr>
          <w:rFonts w:ascii="Calibri" w:eastAsia="Calibri" w:hAnsi="Calibri" w:cs="Calibri"/>
          <w:lang w:val="en-GB" w:eastAsia="en-US"/>
        </w:rPr>
        <w:t>.</w:t>
      </w:r>
    </w:p>
    <w:p w14:paraId="0778E8AC" w14:textId="77777777" w:rsidR="007B43D0" w:rsidRPr="007B43D0" w:rsidRDefault="007B43D0" w:rsidP="002F4E00">
      <w:pPr>
        <w:spacing w:after="160" w:line="360" w:lineRule="auto"/>
        <w:ind w:firstLine="720"/>
        <w:jc w:val="both"/>
        <w:rPr>
          <w:rFonts w:ascii="Calibri" w:eastAsia="Calibri" w:hAnsi="Calibri" w:cs="Calibri"/>
          <w:lang w:val="en-GB" w:eastAsia="en-US"/>
        </w:rPr>
      </w:pPr>
      <w:r w:rsidRPr="007B43D0">
        <w:rPr>
          <w:rFonts w:ascii="Calibri" w:eastAsia="Calibri" w:hAnsi="Calibri" w:cs="Calibri"/>
          <w:lang w:val="en-GB" w:eastAsia="en-US"/>
        </w:rPr>
        <w:t>Both ACAs have the power to investigate and prosecute crimes as provided by their establishment Act. Their investigative function may be triggered via petitions or complaints received from the public, whistleblowers, or on their own initiative through proactive intelligence gathering. Upon vetting a complaint, the agency may launch a full investigation where it is satisfied that there is some credibility in the allegation.  In exercising their powers to investigate and prosecute, the ACAs are not totally independent, as they are subject to the powers of the Attorney-General of the Federation (AGF) who may decide to take over or discontinue a case.</w:t>
      </w:r>
      <w:r w:rsidRPr="002F4E00">
        <w:rPr>
          <w:rFonts w:ascii="Calibri" w:eastAsia="Calibri" w:hAnsi="Calibri" w:cs="Calibri"/>
          <w:vertAlign w:val="superscript"/>
          <w:lang w:val="en-GB" w:eastAsia="en-US"/>
        </w:rPr>
        <w:footnoteReference w:id="32"/>
      </w:r>
      <w:r w:rsidRPr="007B43D0">
        <w:rPr>
          <w:rFonts w:ascii="Calibri" w:eastAsia="Calibri" w:hAnsi="Calibri" w:cs="Calibri"/>
          <w:lang w:val="en-GB" w:eastAsia="en-US"/>
        </w:rPr>
        <w:t xml:space="preserve"> Additionally, the AGF has regulatory functions over the ACAs and is conferred with powers that may interfere with the functions of the ACAs. For instance, the AGF may make regulations for the EFFC under its Establishment Act.</w:t>
      </w:r>
      <w:r w:rsidRPr="002F4E00">
        <w:rPr>
          <w:rFonts w:ascii="Calibri" w:eastAsia="Calibri" w:hAnsi="Calibri" w:cs="Calibri"/>
          <w:vertAlign w:val="superscript"/>
          <w:lang w:val="en-GB" w:eastAsia="en-US"/>
        </w:rPr>
        <w:footnoteReference w:id="33"/>
      </w:r>
      <w:r w:rsidRPr="007B43D0">
        <w:rPr>
          <w:rFonts w:ascii="Calibri" w:eastAsia="Calibri" w:hAnsi="Calibri" w:cs="Calibri"/>
          <w:lang w:val="en-GB" w:eastAsia="en-US"/>
        </w:rPr>
        <w:t xml:space="preserve"> The AGF coordinates all non-conviction-based asset recovery operations hence, ACAs must transfer all non-conviction-based forfeiture matters, which arise in the course of their investigation, to the office of the AGF.</w:t>
      </w:r>
      <w:r w:rsidRPr="002F4E00">
        <w:rPr>
          <w:rFonts w:ascii="Calibri" w:eastAsia="Calibri" w:hAnsi="Calibri" w:cs="Calibri"/>
          <w:vertAlign w:val="superscript"/>
          <w:lang w:val="en-GB" w:eastAsia="en-US"/>
        </w:rPr>
        <w:footnoteReference w:id="34"/>
      </w:r>
      <w:r w:rsidRPr="007B43D0">
        <w:rPr>
          <w:rFonts w:ascii="Calibri" w:eastAsia="Calibri" w:hAnsi="Calibri" w:cs="Calibri"/>
          <w:lang w:val="en-GB" w:eastAsia="en-US"/>
        </w:rPr>
        <w:t xml:space="preserve"> Over the years, there have been many instances especially, in the prosecution of high-profile corruption cases, where the AGF has interfered with the functions of the ACAs by halting corruption trials or simply prevented investigation under the guise of exercising constitutional powers.</w:t>
      </w:r>
      <w:r w:rsidRPr="002F4E00">
        <w:rPr>
          <w:rFonts w:ascii="Calibri" w:eastAsia="Calibri" w:hAnsi="Calibri" w:cs="Calibri"/>
          <w:vertAlign w:val="superscript"/>
          <w:lang w:val="en-GB" w:eastAsia="en-US"/>
        </w:rPr>
        <w:footnoteReference w:id="35"/>
      </w:r>
    </w:p>
    <w:p w14:paraId="4482C82E" w14:textId="77777777" w:rsidR="007B43D0" w:rsidRPr="007B43D0" w:rsidRDefault="007B43D0" w:rsidP="002F4E00">
      <w:pPr>
        <w:spacing w:after="160" w:line="360" w:lineRule="auto"/>
        <w:ind w:firstLine="720"/>
        <w:jc w:val="both"/>
        <w:rPr>
          <w:rFonts w:ascii="Calibri" w:eastAsia="Calibri" w:hAnsi="Calibri" w:cs="Calibri"/>
          <w:lang w:val="en-GB" w:eastAsia="en-US"/>
        </w:rPr>
      </w:pPr>
      <w:r w:rsidRPr="007B43D0">
        <w:rPr>
          <w:rFonts w:ascii="Calibri" w:eastAsia="Calibri" w:hAnsi="Calibri" w:cs="Calibri"/>
          <w:lang w:val="en-GB" w:eastAsia="en-US"/>
        </w:rPr>
        <w:lastRenderedPageBreak/>
        <w:t xml:space="preserve">Over the last two decades, both ACAs have reportedly recovered about </w:t>
      </w:r>
      <w:r w:rsidRPr="007B43D0">
        <w:rPr>
          <w:rFonts w:ascii="Calibri" w:eastAsia="Calibri" w:hAnsi="Calibri" w:cs="Calibri"/>
          <w:dstrike/>
          <w:lang w:val="en-GB" w:eastAsia="en-US"/>
        </w:rPr>
        <w:t>N</w:t>
      </w:r>
      <w:r w:rsidRPr="007B43D0">
        <w:rPr>
          <w:rFonts w:ascii="Calibri" w:eastAsia="Calibri" w:hAnsi="Calibri" w:cs="Calibri"/>
          <w:lang w:val="en-GB" w:eastAsia="en-US"/>
        </w:rPr>
        <w:t>900 billion worth of</w:t>
      </w:r>
      <w:r w:rsidRPr="002F4E00">
        <w:rPr>
          <w:rFonts w:ascii="Calibri" w:eastAsia="Calibri" w:hAnsi="Calibri" w:cs="Calibri"/>
          <w:vertAlign w:val="superscript"/>
          <w:lang w:val="en-GB" w:eastAsia="en-US"/>
        </w:rPr>
        <w:footnoteReference w:id="36"/>
      </w:r>
      <w:r w:rsidRPr="007B43D0">
        <w:rPr>
          <w:rFonts w:ascii="Calibri" w:eastAsia="Calibri" w:hAnsi="Calibri" w:cs="Calibri"/>
          <w:lang w:val="en-GB" w:eastAsia="en-US"/>
        </w:rPr>
        <w:t xml:space="preserve"> looted assets.</w:t>
      </w:r>
      <w:r w:rsidRPr="002F4E00">
        <w:rPr>
          <w:rFonts w:ascii="Calibri" w:eastAsia="Calibri" w:hAnsi="Calibri" w:cs="Calibri"/>
          <w:vertAlign w:val="superscript"/>
          <w:lang w:val="en-GB" w:eastAsia="en-US"/>
        </w:rPr>
        <w:footnoteReference w:id="37"/>
      </w:r>
      <w:r w:rsidRPr="007B43D0">
        <w:rPr>
          <w:rFonts w:ascii="Calibri" w:eastAsia="Calibri" w:hAnsi="Calibri" w:cs="Calibri"/>
          <w:lang w:val="en-GB" w:eastAsia="en-US"/>
        </w:rPr>
        <w:t xml:space="preserve"> Despite its alleged relative ineffectiveness, the ICPC has reportedly received about 20,000 petitions and successfully investigated over 5000 of those petitions and prosecuted 1000 cases with 20% convictions.</w:t>
      </w:r>
      <w:r w:rsidRPr="002F4E00">
        <w:rPr>
          <w:rFonts w:ascii="Calibri" w:eastAsia="Calibri" w:hAnsi="Calibri" w:cs="Calibri"/>
          <w:vertAlign w:val="superscript"/>
          <w:lang w:val="en-GB" w:eastAsia="en-US"/>
        </w:rPr>
        <w:footnoteReference w:id="38"/>
      </w:r>
      <w:r w:rsidRPr="007B43D0">
        <w:rPr>
          <w:rFonts w:ascii="Calibri" w:eastAsia="Calibri" w:hAnsi="Calibri" w:cs="Calibri"/>
          <w:lang w:val="en-GB" w:eastAsia="en-US"/>
        </w:rPr>
        <w:t xml:space="preserve"> Additionally, the ICPC reportedly recovered over </w:t>
      </w:r>
      <w:r w:rsidRPr="007B43D0">
        <w:rPr>
          <w:rFonts w:ascii="Calibri" w:eastAsia="Calibri" w:hAnsi="Calibri" w:cs="Calibri"/>
          <w:dstrike/>
          <w:lang w:val="en-GB" w:eastAsia="en-US"/>
        </w:rPr>
        <w:t>N</w:t>
      </w:r>
      <w:r w:rsidRPr="007B43D0">
        <w:rPr>
          <w:rFonts w:ascii="Calibri" w:eastAsia="Calibri" w:hAnsi="Calibri" w:cs="Calibri"/>
          <w:lang w:val="en-GB" w:eastAsia="en-US"/>
        </w:rPr>
        <w:t xml:space="preserve">454 </w:t>
      </w:r>
      <w:proofErr w:type="spellStart"/>
      <w:r w:rsidRPr="007B43D0">
        <w:rPr>
          <w:rFonts w:ascii="Calibri" w:eastAsia="Calibri" w:hAnsi="Calibri" w:cs="Calibri"/>
          <w:lang w:val="en-GB" w:eastAsia="en-US"/>
        </w:rPr>
        <w:t>billion</w:t>
      </w:r>
      <w:proofErr w:type="spellEnd"/>
      <w:r w:rsidRPr="007B43D0">
        <w:rPr>
          <w:rFonts w:ascii="Calibri" w:eastAsia="Calibri" w:hAnsi="Calibri" w:cs="Calibri"/>
          <w:lang w:val="en-GB" w:eastAsia="en-US"/>
        </w:rPr>
        <w:t xml:space="preserve"> of looted funds in the last five years and recorded a recovery of assets worth over 125 billion Naira.</w:t>
      </w:r>
      <w:r w:rsidRPr="002F4E00">
        <w:rPr>
          <w:rFonts w:ascii="Calibri" w:eastAsia="Calibri" w:hAnsi="Calibri" w:cs="Calibri"/>
          <w:vertAlign w:val="superscript"/>
          <w:lang w:val="en-GB" w:eastAsia="en-US"/>
        </w:rPr>
        <w:footnoteReference w:id="39"/>
      </w:r>
      <w:r w:rsidRPr="007B43D0">
        <w:rPr>
          <w:rFonts w:ascii="Calibri" w:eastAsia="Calibri" w:hAnsi="Calibri" w:cs="Calibri"/>
          <w:lang w:val="en-GB" w:eastAsia="en-US"/>
        </w:rPr>
        <w:t xml:space="preserve"> In pursuance of its duties in Sec. 6 of the ICPC Act, the Commission conducts systematic study and review of government ministries, departments, and agencies which has helped stall many corrupt tendencies and helped in fulfilling its preventive mandate. The EFCC </w:t>
      </w:r>
      <w:r w:rsidRPr="007B43D0">
        <w:rPr>
          <w:rFonts w:ascii="Calibri" w:eastAsia="Calibri" w:hAnsi="Calibri" w:cs="Calibri"/>
          <w:lang w:val="en-US" w:eastAsia="en-US"/>
        </w:rPr>
        <w:t xml:space="preserve">reportedly got over three thousand convictions and recovered </w:t>
      </w:r>
      <w:r w:rsidRPr="007B43D0">
        <w:rPr>
          <w:rFonts w:ascii="Calibri" w:eastAsia="Calibri" w:hAnsi="Calibri" w:cs="Calibri"/>
          <w:dstrike/>
          <w:lang w:val="en-GB" w:eastAsia="en-US"/>
        </w:rPr>
        <w:t>N</w:t>
      </w:r>
      <w:r w:rsidRPr="007B43D0">
        <w:rPr>
          <w:rFonts w:ascii="Calibri" w:eastAsia="Calibri" w:hAnsi="Calibri" w:cs="Calibri"/>
          <w:lang w:val="en-US" w:eastAsia="en-US"/>
        </w:rPr>
        <w:t>156 billion between May 2023 and May 2024.</w:t>
      </w:r>
      <w:r w:rsidRPr="002F4E00">
        <w:rPr>
          <w:rFonts w:ascii="Calibri" w:eastAsia="Calibri" w:hAnsi="Calibri" w:cs="Calibri"/>
          <w:vertAlign w:val="superscript"/>
          <w:lang w:val="en-US" w:eastAsia="en-US"/>
        </w:rPr>
        <w:footnoteReference w:id="40"/>
      </w:r>
      <w:r w:rsidRPr="007B43D0">
        <w:rPr>
          <w:rFonts w:ascii="Calibri" w:eastAsia="Calibri" w:hAnsi="Calibri" w:cs="Calibri"/>
          <w:lang w:val="en-GB" w:eastAsia="en-US"/>
        </w:rPr>
        <w:t xml:space="preserve"> In 2022, the EFCC reported 3,735 convictions recording 98.93% success in all the cases prosecuted in 2022.</w:t>
      </w:r>
      <w:r w:rsidRPr="002F4E00">
        <w:rPr>
          <w:rFonts w:ascii="Calibri" w:eastAsia="Calibri" w:hAnsi="Calibri" w:cs="Calibri"/>
          <w:vertAlign w:val="superscript"/>
          <w:lang w:val="en-GB" w:eastAsia="en-US"/>
        </w:rPr>
        <w:footnoteReference w:id="41"/>
      </w:r>
      <w:r w:rsidRPr="007B43D0">
        <w:rPr>
          <w:rFonts w:ascii="Calibri" w:eastAsia="Calibri" w:hAnsi="Calibri" w:cs="Calibri"/>
          <w:lang w:val="en-GB" w:eastAsia="en-US"/>
        </w:rPr>
        <w:t xml:space="preserve"> The EFCC has recorded thousands of convictions in the last decade and recovered </w:t>
      </w:r>
      <w:r w:rsidRPr="007B43D0">
        <w:rPr>
          <w:rFonts w:ascii="Calibri" w:eastAsia="Calibri" w:hAnsi="Calibri" w:cs="Calibri"/>
          <w:dstrike/>
          <w:lang w:val="en-GB" w:eastAsia="en-US"/>
        </w:rPr>
        <w:t>N</w:t>
      </w:r>
      <w:r w:rsidRPr="007B43D0">
        <w:rPr>
          <w:rFonts w:ascii="Calibri" w:eastAsia="Calibri" w:hAnsi="Calibri" w:cs="Calibri"/>
          <w:lang w:val="en-GB" w:eastAsia="en-US"/>
        </w:rPr>
        <w:t xml:space="preserve">8.5 billion in 2020 </w:t>
      </w:r>
      <w:r w:rsidRPr="007B43D0">
        <w:rPr>
          <w:rFonts w:ascii="Calibri" w:eastAsia="Calibri" w:hAnsi="Calibri" w:cs="Calibri"/>
          <w:lang w:val="en-GB" w:eastAsia="en-US"/>
        </w:rPr>
        <w:lastRenderedPageBreak/>
        <w:t>alone.</w:t>
      </w:r>
      <w:r w:rsidRPr="002F4E00">
        <w:rPr>
          <w:rFonts w:ascii="Calibri" w:eastAsia="Calibri" w:hAnsi="Calibri" w:cs="Calibri"/>
          <w:vertAlign w:val="superscript"/>
          <w:lang w:val="en-GB" w:eastAsia="en-US"/>
        </w:rPr>
        <w:footnoteReference w:id="42"/>
      </w:r>
      <w:r w:rsidRPr="007B43D0">
        <w:rPr>
          <w:rFonts w:ascii="Calibri" w:eastAsia="Calibri" w:hAnsi="Calibri" w:cs="Calibri"/>
          <w:lang w:val="en-GB" w:eastAsia="en-US"/>
        </w:rPr>
        <w:t xml:space="preserve"> Notwithstanding the seemingly impressive records of the principal ACAs, allegations of public corruption have been on the increase and Nigeria’s performance on the corruption perception index has remained within the same range with insignificant differences.</w:t>
      </w:r>
      <w:r w:rsidRPr="002F4E00">
        <w:rPr>
          <w:rFonts w:ascii="Calibri" w:eastAsia="Calibri" w:hAnsi="Calibri" w:cs="Calibri"/>
          <w:vertAlign w:val="superscript"/>
          <w:lang w:val="en-GB" w:eastAsia="en-US"/>
        </w:rPr>
        <w:footnoteReference w:id="43"/>
      </w:r>
    </w:p>
    <w:p w14:paraId="6846614E" w14:textId="77777777" w:rsidR="007B43D0" w:rsidRPr="007B43D0" w:rsidRDefault="007B43D0" w:rsidP="002F4E00">
      <w:pPr>
        <w:spacing w:after="160" w:line="360" w:lineRule="auto"/>
        <w:ind w:firstLine="720"/>
        <w:jc w:val="both"/>
        <w:rPr>
          <w:rFonts w:ascii="Calibri" w:eastAsia="Calibri" w:hAnsi="Calibri" w:cs="Calibri"/>
          <w:lang w:val="en-GB" w:eastAsia="en-US"/>
        </w:rPr>
      </w:pPr>
      <w:r w:rsidRPr="007B43D0">
        <w:rPr>
          <w:rFonts w:ascii="Calibri" w:eastAsia="Calibri" w:hAnsi="Calibri" w:cs="Calibri"/>
          <w:lang w:val="en-GB" w:eastAsia="en-US"/>
        </w:rPr>
        <w:t>Over the last decade, there has been an emergence of state-based ACAs in three states of the federation including, Kano, Lagos, and Oyo states. These states established their own ACAs with powers and jurisdiction similar to those of the principal ACAs within their states.</w:t>
      </w:r>
      <w:r w:rsidRPr="002F4E00">
        <w:rPr>
          <w:rFonts w:ascii="Calibri" w:eastAsia="Calibri" w:hAnsi="Calibri" w:cs="Calibri"/>
          <w:vertAlign w:val="superscript"/>
          <w:lang w:val="en-GB" w:eastAsia="en-US"/>
        </w:rPr>
        <w:footnoteReference w:id="44"/>
      </w:r>
      <w:r w:rsidRPr="007B43D0">
        <w:rPr>
          <w:rFonts w:ascii="Calibri" w:eastAsia="Calibri" w:hAnsi="Calibri" w:cs="Calibri"/>
          <w:lang w:val="en-GB" w:eastAsia="en-US"/>
        </w:rPr>
        <w:t xml:space="preserve"> While the states are constitutionally empowered to combat corruption within their jurisdictions,</w:t>
      </w:r>
      <w:r w:rsidRPr="002F4E00">
        <w:rPr>
          <w:rFonts w:ascii="Calibri" w:eastAsia="Calibri" w:hAnsi="Calibri" w:cs="Calibri"/>
          <w:vertAlign w:val="superscript"/>
          <w:lang w:val="en-GB" w:eastAsia="en-US"/>
        </w:rPr>
        <w:footnoteReference w:id="45"/>
      </w:r>
      <w:r w:rsidRPr="007B43D0">
        <w:rPr>
          <w:rFonts w:ascii="Calibri" w:eastAsia="Calibri" w:hAnsi="Calibri" w:cs="Calibri"/>
          <w:lang w:val="en-GB" w:eastAsia="en-US"/>
        </w:rPr>
        <w:t xml:space="preserve"> the proliferation of ACAs raises many questions. First, given the fact that states have previously challenged and continue to challenge the validity of the principal ACAs, what would be the rationale for state-based ACAs where the principal ACAs have nationwide </w:t>
      </w:r>
      <w:r w:rsidRPr="007B43D0">
        <w:rPr>
          <w:rFonts w:ascii="Calibri" w:eastAsia="Calibri" w:hAnsi="Calibri" w:cs="Calibri"/>
          <w:lang w:val="en-GB" w:eastAsia="en-US"/>
        </w:rPr>
        <w:lastRenderedPageBreak/>
        <w:t>coverage and jurisdiction?</w:t>
      </w:r>
      <w:r w:rsidRPr="002F4E00">
        <w:rPr>
          <w:rFonts w:ascii="Calibri" w:eastAsia="Calibri" w:hAnsi="Calibri" w:cs="Calibri"/>
          <w:vertAlign w:val="superscript"/>
          <w:lang w:val="en-GB" w:eastAsia="en-US"/>
        </w:rPr>
        <w:footnoteReference w:id="46"/>
      </w:r>
      <w:r w:rsidRPr="007B43D0">
        <w:rPr>
          <w:rFonts w:ascii="Calibri" w:eastAsia="Calibri" w:hAnsi="Calibri" w:cs="Calibri"/>
          <w:lang w:val="en-GB" w:eastAsia="en-US"/>
        </w:rPr>
        <w:t xml:space="preserve"> Second, given the international standards on ACAs, the proliferation of ACAs in Nigeria, and their operations, is it likely that ACAs are more than just legal tools to combat corruption? Are ACAs being wielded as tools of autocratic legalism?</w:t>
      </w:r>
    </w:p>
    <w:p w14:paraId="6F0FC9F2" w14:textId="77777777" w:rsidR="007B43D0" w:rsidRPr="007B43D0" w:rsidRDefault="007B43D0" w:rsidP="00345597">
      <w:pPr>
        <w:pStyle w:val="NoSpacing"/>
        <w:rPr>
          <w:lang w:val="en-GB"/>
        </w:rPr>
      </w:pPr>
    </w:p>
    <w:p w14:paraId="4BC3363C" w14:textId="12829F46" w:rsidR="007B43D0" w:rsidRPr="007B43D0" w:rsidRDefault="002F4E00" w:rsidP="007B43D0">
      <w:pPr>
        <w:spacing w:after="160" w:line="360" w:lineRule="auto"/>
        <w:jc w:val="both"/>
        <w:rPr>
          <w:rFonts w:ascii="Calibri" w:eastAsia="Calibri" w:hAnsi="Calibri" w:cs="Calibri"/>
          <w:lang w:val="en-GB" w:eastAsia="en-US"/>
        </w:rPr>
      </w:pPr>
      <w:r>
        <w:rPr>
          <w:rFonts w:ascii="Calibri" w:eastAsia="Calibri" w:hAnsi="Calibri" w:cs="Calibri"/>
          <w:b/>
          <w:bCs/>
          <w:lang w:val="en-GB" w:eastAsia="en-US"/>
        </w:rPr>
        <w:t xml:space="preserve">4 </w:t>
      </w:r>
      <w:r>
        <w:rPr>
          <w:rFonts w:ascii="Calibri" w:eastAsia="Calibri" w:hAnsi="Calibri" w:cs="Calibri"/>
          <w:b/>
          <w:bCs/>
          <w:lang w:val="en-GB" w:eastAsia="en-US"/>
        </w:rPr>
        <w:tab/>
      </w:r>
      <w:r w:rsidR="007B43D0" w:rsidRPr="007B43D0">
        <w:rPr>
          <w:rFonts w:ascii="Calibri" w:eastAsia="Calibri" w:hAnsi="Calibri" w:cs="Calibri"/>
          <w:b/>
          <w:lang w:val="en-GB" w:eastAsia="en-US"/>
        </w:rPr>
        <w:t>Anti-Corruption Agencies and Autocratic Legalism</w:t>
      </w:r>
    </w:p>
    <w:p w14:paraId="1B04763D" w14:textId="77777777" w:rsidR="007B43D0" w:rsidRPr="007B43D0" w:rsidRDefault="007B43D0" w:rsidP="007B43D0">
      <w:pPr>
        <w:spacing w:after="160" w:line="360" w:lineRule="auto"/>
        <w:jc w:val="both"/>
        <w:rPr>
          <w:rFonts w:ascii="Calibri" w:eastAsia="Calibri" w:hAnsi="Calibri" w:cs="Calibri"/>
          <w:lang w:val="en-GB" w:eastAsia="en-US"/>
        </w:rPr>
      </w:pPr>
      <w:r w:rsidRPr="007B43D0">
        <w:rPr>
          <w:rFonts w:ascii="Calibri" w:eastAsia="Calibri" w:hAnsi="Calibri" w:cs="Calibri"/>
          <w:lang w:val="en-GB" w:eastAsia="en-US"/>
        </w:rPr>
        <w:t>Autocratic legalism is a governance strategy in which seemingly legal tools, such as anti-corruption laws, constitutional amendments, and judicial reforms, are selectively applied to consolidate political power, marginalize opposition, and erode democratic institutions.</w:t>
      </w:r>
      <w:r w:rsidRPr="002F4E00">
        <w:rPr>
          <w:rFonts w:ascii="Calibri" w:eastAsia="Calibri" w:hAnsi="Calibri" w:cs="Calibri"/>
          <w:vertAlign w:val="superscript"/>
          <w:lang w:val="en-GB" w:eastAsia="en-US"/>
        </w:rPr>
        <w:footnoteReference w:id="47"/>
      </w:r>
      <w:r w:rsidRPr="007B43D0">
        <w:rPr>
          <w:rFonts w:ascii="Calibri" w:eastAsia="Calibri" w:hAnsi="Calibri" w:cs="Calibri"/>
          <w:lang w:val="en-GB" w:eastAsia="en-US"/>
        </w:rPr>
        <w:t xml:space="preserve"> Autocratic legalist manipulate legal and constitutional provisions to create a facade of legality while undermining democratic governance. Autocratic legalism is unlike traditional authoritarianism where autocratic legalists make use of force, violence and have absolute disregard for the rule of law. Autocratic legalism exploits constitutional and legal provisions to consolidate their regime and drive their illiberal agenda while making it appear that they are operating within the democratically established legal framework.</w:t>
      </w:r>
      <w:r w:rsidRPr="002F4E00">
        <w:rPr>
          <w:rFonts w:ascii="Calibri" w:eastAsia="Calibri" w:hAnsi="Calibri" w:cs="Calibri"/>
          <w:vertAlign w:val="superscript"/>
          <w:lang w:val="en-GB" w:eastAsia="en-US"/>
        </w:rPr>
        <w:footnoteReference w:id="48"/>
      </w:r>
      <w:r w:rsidRPr="007B43D0">
        <w:rPr>
          <w:rFonts w:ascii="Calibri" w:eastAsia="Calibri" w:hAnsi="Calibri" w:cs="Calibri"/>
          <w:lang w:val="en-GB" w:eastAsia="en-US"/>
        </w:rPr>
        <w:t xml:space="preserve"> Autocratic legalists </w:t>
      </w:r>
      <w:r w:rsidRPr="007B43D0">
        <w:rPr>
          <w:rFonts w:ascii="Calibri" w:eastAsia="Calibri" w:hAnsi="Calibri" w:cs="Calibri"/>
          <w:lang w:val="en-GB" w:eastAsia="en-US"/>
        </w:rPr>
        <w:lastRenderedPageBreak/>
        <w:t>could manipulate judicial institutions, engage constitutional and legal reforms, or even exploits international networks and support to drive their agenda.</w:t>
      </w:r>
      <w:r w:rsidRPr="002F4E00">
        <w:rPr>
          <w:rFonts w:ascii="Calibri" w:eastAsia="Calibri" w:hAnsi="Calibri" w:cs="Calibri"/>
          <w:vertAlign w:val="superscript"/>
          <w:lang w:val="en-GB" w:eastAsia="en-US"/>
        </w:rPr>
        <w:footnoteReference w:id="49"/>
      </w:r>
      <w:r w:rsidRPr="007B43D0">
        <w:rPr>
          <w:rFonts w:ascii="Calibri" w:eastAsia="Calibri" w:hAnsi="Calibri" w:cs="Calibri"/>
          <w:lang w:val="en-GB" w:eastAsia="en-US"/>
        </w:rPr>
        <w:t xml:space="preserve"> Hence, it is not immediately obvious that the democratic norms and legal frameworks are being eroded. One of the strategies of autocratic legalism is the exploitation of existing laws and legal frameworks to drive their autocratic agenda.</w:t>
      </w:r>
    </w:p>
    <w:p w14:paraId="1538BEDB" w14:textId="77777777" w:rsidR="007B43D0" w:rsidRPr="007B43D0" w:rsidRDefault="007B43D0" w:rsidP="007B43D0">
      <w:pPr>
        <w:spacing w:after="160" w:line="360" w:lineRule="auto"/>
        <w:jc w:val="both"/>
        <w:rPr>
          <w:rFonts w:ascii="Calibri" w:eastAsia="Calibri" w:hAnsi="Calibri" w:cs="Calibri"/>
          <w:lang w:val="en-GB" w:eastAsia="en-US"/>
        </w:rPr>
      </w:pPr>
      <w:r w:rsidRPr="007B43D0">
        <w:rPr>
          <w:rFonts w:ascii="Calibri" w:eastAsia="Calibri" w:hAnsi="Calibri" w:cs="Calibri"/>
          <w:lang w:val="en-GB" w:eastAsia="en-US"/>
        </w:rPr>
        <w:t>Anti-corruption agencies are publicly created independent bodies responsible for co-ordinating anti-corruption strategy of any polity.</w:t>
      </w:r>
      <w:r w:rsidRPr="002F4E00">
        <w:rPr>
          <w:rFonts w:ascii="Calibri" w:eastAsia="Calibri" w:hAnsi="Calibri" w:cs="Calibri"/>
          <w:vertAlign w:val="superscript"/>
          <w:lang w:val="en-GB" w:eastAsia="en-US"/>
        </w:rPr>
        <w:footnoteReference w:id="50"/>
      </w:r>
      <w:r w:rsidRPr="007B43D0">
        <w:rPr>
          <w:rFonts w:ascii="Calibri" w:eastAsia="Calibri" w:hAnsi="Calibri" w:cs="Calibri"/>
          <w:lang w:val="en-GB" w:eastAsia="en-US"/>
        </w:rPr>
        <w:t xml:space="preserve"> The mandates of anti-corruption agencies are usually broad and multifaceted, but specific. Their functions may range from investigating and prosecuting corruption crimes to executing preventive anti-corruption strategies.</w:t>
      </w:r>
      <w:r w:rsidRPr="002F4E00">
        <w:rPr>
          <w:rFonts w:ascii="Calibri" w:eastAsia="Calibri" w:hAnsi="Calibri" w:cs="Calibri"/>
          <w:vertAlign w:val="superscript"/>
          <w:lang w:val="en-GB" w:eastAsia="en-US"/>
        </w:rPr>
        <w:footnoteReference w:id="51"/>
      </w:r>
      <w:r w:rsidRPr="007B43D0">
        <w:rPr>
          <w:rFonts w:ascii="Calibri" w:eastAsia="Calibri" w:hAnsi="Calibri" w:cs="Calibri"/>
          <w:lang w:val="en-GB" w:eastAsia="en-US"/>
        </w:rPr>
        <w:t xml:space="preserve"> </w:t>
      </w:r>
      <w:bookmarkStart w:id="59" w:name="_Hlk180720281"/>
      <w:r w:rsidRPr="007B43D0">
        <w:rPr>
          <w:rFonts w:ascii="Calibri" w:eastAsia="Calibri" w:hAnsi="Calibri" w:cs="Calibri"/>
          <w:lang w:val="en-GB" w:eastAsia="en-US"/>
        </w:rPr>
        <w:t>The standard and core purpose of the anti-corruption bodies are set out in international legal provisions. They must be independent, specialised, staffed and sufficiently funded to performs their functions and duties</w:t>
      </w:r>
      <w:bookmarkEnd w:id="59"/>
      <w:r w:rsidRPr="007B43D0">
        <w:rPr>
          <w:rFonts w:ascii="Calibri" w:eastAsia="Calibri" w:hAnsi="Calibri" w:cs="Calibri"/>
          <w:lang w:val="en-GB" w:eastAsia="en-US"/>
        </w:rPr>
        <w:t>.</w:t>
      </w:r>
      <w:r w:rsidRPr="002F4E00">
        <w:rPr>
          <w:rFonts w:ascii="Calibri" w:eastAsia="Calibri" w:hAnsi="Calibri" w:cs="Calibri"/>
          <w:vertAlign w:val="superscript"/>
          <w:lang w:val="en-GB" w:eastAsia="en-US"/>
        </w:rPr>
        <w:footnoteReference w:id="52"/>
      </w:r>
      <w:r w:rsidRPr="007B43D0">
        <w:rPr>
          <w:rFonts w:ascii="Calibri" w:eastAsia="Calibri" w:hAnsi="Calibri" w:cs="Calibri"/>
          <w:lang w:val="en-GB" w:eastAsia="en-US"/>
        </w:rPr>
        <w:t xml:space="preserve"> </w:t>
      </w:r>
    </w:p>
    <w:p w14:paraId="3CFE8FFB" w14:textId="77777777" w:rsidR="007B43D0" w:rsidRPr="007B43D0" w:rsidRDefault="007B43D0" w:rsidP="002F4E00">
      <w:pPr>
        <w:spacing w:after="160" w:line="360" w:lineRule="auto"/>
        <w:ind w:firstLine="720"/>
        <w:jc w:val="both"/>
        <w:rPr>
          <w:rFonts w:ascii="Calibri" w:eastAsia="Calibri" w:hAnsi="Calibri" w:cs="Calibri"/>
          <w:lang w:val="en-GB" w:eastAsia="en-US"/>
        </w:rPr>
      </w:pPr>
      <w:r w:rsidRPr="007B43D0">
        <w:rPr>
          <w:rFonts w:ascii="Calibri" w:eastAsia="Calibri" w:hAnsi="Calibri" w:cs="Calibri"/>
          <w:lang w:val="en-GB" w:eastAsia="en-US"/>
        </w:rPr>
        <w:t xml:space="preserve">The provisions of the ICPC and the EFCC Acts suggest </w:t>
      </w:r>
      <w:r w:rsidRPr="007B43D0">
        <w:rPr>
          <w:rFonts w:ascii="Calibri" w:eastAsia="Calibri" w:hAnsi="Calibri" w:cs="Calibri"/>
          <w:i/>
          <w:lang w:val="en-GB" w:eastAsia="en-US"/>
        </w:rPr>
        <w:t xml:space="preserve">prima facie </w:t>
      </w:r>
      <w:r w:rsidRPr="007B43D0">
        <w:rPr>
          <w:rFonts w:ascii="Calibri" w:eastAsia="Calibri" w:hAnsi="Calibri" w:cs="Calibri"/>
          <w:lang w:val="en-GB" w:eastAsia="en-US"/>
        </w:rPr>
        <w:t>guarantee of independence of the Commission, although things have played out differently in reality. The ACAs are not subject to any form of control or direction from any person or authority in the discharge of their functions.</w:t>
      </w:r>
      <w:r w:rsidRPr="002F4E00">
        <w:rPr>
          <w:rFonts w:ascii="Calibri" w:eastAsia="Calibri" w:hAnsi="Calibri" w:cs="Calibri"/>
          <w:vertAlign w:val="superscript"/>
          <w:lang w:val="en-GB" w:eastAsia="en-US"/>
        </w:rPr>
        <w:footnoteReference w:id="53"/>
      </w:r>
      <w:r w:rsidRPr="007B43D0">
        <w:rPr>
          <w:rFonts w:ascii="Calibri" w:eastAsia="Calibri" w:hAnsi="Calibri" w:cs="Calibri"/>
          <w:lang w:val="en-GB" w:eastAsia="en-US"/>
        </w:rPr>
        <w:t xml:space="preserve"> With respect to the composition of the Commissions, the chairmen and members of the Commissions are not subject to any authority in the discharge </w:t>
      </w:r>
      <w:r w:rsidRPr="007B43D0">
        <w:rPr>
          <w:rFonts w:ascii="Calibri" w:eastAsia="Calibri" w:hAnsi="Calibri" w:cs="Calibri"/>
          <w:lang w:val="en-GB" w:eastAsia="en-US"/>
        </w:rPr>
        <w:lastRenderedPageBreak/>
        <w:t>of their duties except as otherwise provided by the Act.</w:t>
      </w:r>
      <w:r w:rsidRPr="002F4E00">
        <w:rPr>
          <w:rFonts w:ascii="Calibri" w:eastAsia="Calibri" w:hAnsi="Calibri" w:cs="Calibri"/>
          <w:vertAlign w:val="superscript"/>
          <w:lang w:val="en-GB" w:eastAsia="en-US"/>
        </w:rPr>
        <w:footnoteReference w:id="54"/>
      </w:r>
      <w:r w:rsidRPr="007B43D0">
        <w:rPr>
          <w:rFonts w:ascii="Calibri" w:eastAsia="Calibri" w:hAnsi="Calibri" w:cs="Calibri"/>
          <w:lang w:val="en-GB" w:eastAsia="en-US"/>
        </w:rPr>
        <w:t xml:space="preserve"> However, the chairmen of both ACAs are appointed by the President upon confirmation by the Senate for a specified time.</w:t>
      </w:r>
      <w:r w:rsidRPr="002F4E00">
        <w:rPr>
          <w:rFonts w:ascii="Calibri" w:eastAsia="Calibri" w:hAnsi="Calibri" w:cs="Calibri"/>
          <w:vertAlign w:val="superscript"/>
          <w:lang w:val="en-GB" w:eastAsia="en-US"/>
        </w:rPr>
        <w:footnoteReference w:id="55"/>
      </w:r>
      <w:r w:rsidRPr="007B43D0">
        <w:rPr>
          <w:rFonts w:ascii="Calibri" w:eastAsia="Calibri" w:hAnsi="Calibri" w:cs="Calibri"/>
          <w:lang w:val="en-GB" w:eastAsia="en-US"/>
        </w:rPr>
        <w:t xml:space="preserve"> While removal of these officers are can only be made by the President with support of two-thirds majority of the Senate in the case of the ICPC. The EFCC officers may be removed by the President solely, on the grounds of ‘inability to discharge the functions of office’ or for misconduct or in the interest of the public without recourse to the legislature.</w:t>
      </w:r>
      <w:r w:rsidRPr="002F4E00">
        <w:rPr>
          <w:rFonts w:ascii="Calibri" w:eastAsia="Calibri" w:hAnsi="Calibri" w:cs="Calibri"/>
          <w:vertAlign w:val="superscript"/>
          <w:lang w:val="en-GB" w:eastAsia="en-US"/>
        </w:rPr>
        <w:footnoteReference w:id="56"/>
      </w:r>
      <w:r w:rsidRPr="007B43D0">
        <w:rPr>
          <w:rFonts w:ascii="Calibri" w:eastAsia="Calibri" w:hAnsi="Calibri" w:cs="Calibri"/>
          <w:lang w:val="en-GB" w:eastAsia="en-US"/>
        </w:rPr>
        <w:t xml:space="preserve"> Additionally, the powers of the ACAs are subject to the constitutional powers of the Attorney-General of the Federation.</w:t>
      </w:r>
    </w:p>
    <w:p w14:paraId="0CE66169" w14:textId="77777777" w:rsidR="007B43D0" w:rsidRPr="007B43D0" w:rsidRDefault="007B43D0" w:rsidP="002F4E00">
      <w:pPr>
        <w:spacing w:after="160" w:line="360" w:lineRule="auto"/>
        <w:ind w:firstLine="720"/>
        <w:jc w:val="both"/>
        <w:rPr>
          <w:rFonts w:ascii="Calibri" w:eastAsia="Calibri" w:hAnsi="Calibri" w:cs="Calibri"/>
          <w:lang w:val="en-GB" w:eastAsia="en-US"/>
        </w:rPr>
      </w:pPr>
      <w:r w:rsidRPr="007B43D0">
        <w:rPr>
          <w:rFonts w:ascii="Calibri" w:eastAsia="Calibri" w:hAnsi="Calibri" w:cs="Calibri"/>
          <w:lang w:val="en-GB" w:eastAsia="en-US"/>
        </w:rPr>
        <w:t>The ICPC and EFCC report to the executive and the National Assembly but do not owe any allegiance to them that may contradict their mandate. In addition, the powers of the ACAs are subject to the constitutional powers of the Attorney-General of the Federation (AGF). In reality however, the independence of the principal ACAs has been constantly jeopardised in many ways. Irrespective of the clear provision of the law, Nigeria has witnessed many of the rifts between the office of the AGF and the principal ACAs.</w:t>
      </w:r>
      <w:r w:rsidRPr="002F4E00">
        <w:rPr>
          <w:rFonts w:ascii="Calibri" w:eastAsia="Calibri" w:hAnsi="Calibri" w:cs="Calibri"/>
          <w:vertAlign w:val="superscript"/>
          <w:lang w:val="en-GB" w:eastAsia="en-US"/>
        </w:rPr>
        <w:footnoteReference w:id="57"/>
      </w:r>
      <w:r w:rsidRPr="007B43D0">
        <w:rPr>
          <w:rFonts w:ascii="Calibri" w:eastAsia="Calibri" w:hAnsi="Calibri" w:cs="Calibri"/>
          <w:lang w:val="en-GB" w:eastAsia="en-US"/>
        </w:rPr>
        <w:t xml:space="preserve"> The constitutional provisions </w:t>
      </w:r>
      <w:r w:rsidRPr="007B43D0">
        <w:rPr>
          <w:rFonts w:ascii="Calibri" w:eastAsia="Calibri" w:hAnsi="Calibri" w:cs="Calibri"/>
          <w:lang w:val="en-GB" w:eastAsia="en-US"/>
        </w:rPr>
        <w:lastRenderedPageBreak/>
        <w:t>regarding the powers of the AGF have been used on several occasions to stifle the activities of the ACAs to investigate and prosecute. With the emergence of state-based ACAs and in the absence of clear legal provisions, it remains unknown how the activities of the principal ACAs and the State ACAs will be coordinated to prevent rift between them.</w:t>
      </w:r>
    </w:p>
    <w:p w14:paraId="7D33A8B8" w14:textId="77777777" w:rsidR="007B43D0" w:rsidRPr="007B43D0" w:rsidRDefault="007B43D0" w:rsidP="002F4E00">
      <w:pPr>
        <w:spacing w:after="160" w:line="360" w:lineRule="auto"/>
        <w:ind w:firstLine="720"/>
        <w:jc w:val="both"/>
        <w:rPr>
          <w:rFonts w:ascii="Calibri" w:eastAsia="Calibri" w:hAnsi="Calibri" w:cs="Calibri"/>
          <w:lang w:val="en-GB" w:eastAsia="en-US"/>
        </w:rPr>
      </w:pPr>
      <w:r w:rsidRPr="007B43D0">
        <w:rPr>
          <w:rFonts w:ascii="Calibri" w:eastAsia="Calibri" w:hAnsi="Calibri" w:cs="Calibri"/>
          <w:lang w:val="en-GB" w:eastAsia="en-US"/>
        </w:rPr>
        <w:t>Additionally, the principal ACAs have been wielded by politicians especially in the executive arm of government to stifle opposition through selective prosecution. For instance, right from the third republic following transition in 1999, the ACAs have been subject to control by the president. Political opponents involved in corruption cases were picked-up, investigated and prosecuted. Whereas, political allies charged with similar corruption allegations, were selectively exculpated without any justification.</w:t>
      </w:r>
      <w:r w:rsidRPr="002F4E00">
        <w:rPr>
          <w:rFonts w:ascii="Calibri" w:eastAsia="Calibri" w:hAnsi="Calibri" w:cs="Calibri"/>
          <w:vertAlign w:val="superscript"/>
          <w:lang w:val="en-GB" w:eastAsia="en-US"/>
        </w:rPr>
        <w:footnoteReference w:id="58"/>
      </w:r>
      <w:r w:rsidRPr="007B43D0">
        <w:rPr>
          <w:rFonts w:ascii="Calibri" w:eastAsia="Calibri" w:hAnsi="Calibri" w:cs="Calibri"/>
          <w:lang w:val="en-GB" w:eastAsia="en-US"/>
        </w:rPr>
        <w:t xml:space="preserve"> Where a political opponent facing strong corruption allegations deflects to the ruling party, the charges are suddenly dropped, or the cases are no longer pursued.</w:t>
      </w:r>
      <w:r w:rsidRPr="002F4E00">
        <w:rPr>
          <w:rFonts w:ascii="Calibri" w:eastAsia="Calibri" w:hAnsi="Calibri" w:cs="Calibri"/>
          <w:vertAlign w:val="superscript"/>
          <w:lang w:val="en-GB" w:eastAsia="en-US"/>
        </w:rPr>
        <w:footnoteReference w:id="59"/>
      </w:r>
      <w:r w:rsidRPr="007B43D0">
        <w:rPr>
          <w:rFonts w:ascii="Calibri" w:eastAsia="Calibri" w:hAnsi="Calibri" w:cs="Calibri"/>
          <w:lang w:val="en-GB" w:eastAsia="en-US"/>
        </w:rPr>
        <w:t xml:space="preserve"> Thus, it would seem that the ACAs are used as political tools to pursue high profile prosecution with political motives of promoting impunity while seemingly appearing to fight corruption. It can be argued that states may have been politically motivated to establish ACAs not necessarily with the sole aim </w:t>
      </w:r>
      <w:r w:rsidRPr="007B43D0">
        <w:rPr>
          <w:rFonts w:ascii="Calibri" w:eastAsia="Calibri" w:hAnsi="Calibri" w:cs="Calibri"/>
          <w:lang w:val="en-GB" w:eastAsia="en-US"/>
        </w:rPr>
        <w:lastRenderedPageBreak/>
        <w:t>of complementing the anti-corruption initiatives of the federal government but also with autocratic intentions. Given the antecedents of states' challenge of the constitutionality of the principal ACAs and the plethora of corruption charges against former state governors and public officials, such postulations may not be unfounded.</w:t>
      </w:r>
    </w:p>
    <w:p w14:paraId="41DCA829" w14:textId="20A9DD6D" w:rsidR="007B43D0" w:rsidRPr="002F4E00" w:rsidRDefault="007B43D0" w:rsidP="002F4E00">
      <w:pPr>
        <w:pStyle w:val="ListParagraph"/>
        <w:numPr>
          <w:ilvl w:val="0"/>
          <w:numId w:val="3"/>
        </w:numPr>
        <w:spacing w:after="160" w:line="360" w:lineRule="auto"/>
        <w:jc w:val="both"/>
        <w:rPr>
          <w:rFonts w:ascii="Calibri" w:eastAsia="Calibri" w:hAnsi="Calibri" w:cs="Calibri"/>
          <w:b/>
          <w:bCs/>
          <w:lang w:val="en-GB" w:eastAsia="en-US"/>
        </w:rPr>
      </w:pPr>
      <w:r w:rsidRPr="002F4E00">
        <w:rPr>
          <w:rFonts w:ascii="Calibri" w:eastAsia="Calibri" w:hAnsi="Calibri" w:cs="Calibri"/>
          <w:b/>
          <w:bCs/>
          <w:lang w:val="en-GB" w:eastAsia="en-US"/>
        </w:rPr>
        <w:t xml:space="preserve">Concluding Observations  </w:t>
      </w:r>
    </w:p>
    <w:p w14:paraId="492BF68C" w14:textId="77777777" w:rsidR="007B43D0" w:rsidRPr="007B43D0" w:rsidRDefault="007B43D0" w:rsidP="007B43D0">
      <w:pPr>
        <w:spacing w:before="240" w:line="360" w:lineRule="auto"/>
        <w:jc w:val="both"/>
        <w:rPr>
          <w:rFonts w:ascii="Calibri" w:eastAsia="Calibri" w:hAnsi="Calibri" w:cs="Calibri"/>
          <w:lang w:eastAsia="en-US"/>
        </w:rPr>
      </w:pPr>
      <w:r w:rsidRPr="007B43D0">
        <w:rPr>
          <w:rFonts w:ascii="Calibri" w:eastAsia="Calibri" w:hAnsi="Calibri" w:cs="Calibri"/>
          <w:lang w:eastAsia="en-US"/>
        </w:rPr>
        <w:t>In examining Nigeria’s anti-corruption journey since the return to democracy in 1999, a troubling paradox emerges. The institutions established to combat corruption, particularly the ICPC and EFCC, have often functioned less as impartial bodies of justice and more as instruments for political ends. Successive administrations have repeatedly invoked these agencies to project an image of accountability, yet their actions frequently reveal the selective and politically motivated targeting of individuals, especially those in opposition. This selective use of anti-corruption laws reflects an underlying autocratic legalism that uses the (rule of) law as a tool for consolidating power rather than upholding democratic values.</w:t>
      </w:r>
    </w:p>
    <w:p w14:paraId="704DBBDB" w14:textId="77777777" w:rsidR="002F4E00" w:rsidRDefault="007B43D0" w:rsidP="002F4E00">
      <w:pPr>
        <w:spacing w:before="240" w:line="360" w:lineRule="auto"/>
        <w:ind w:firstLine="720"/>
        <w:jc w:val="both"/>
        <w:rPr>
          <w:rFonts w:ascii="Calibri" w:eastAsia="Calibri" w:hAnsi="Calibri" w:cs="Calibri"/>
          <w:lang w:eastAsia="en-US"/>
        </w:rPr>
      </w:pPr>
      <w:r w:rsidRPr="007B43D0">
        <w:rPr>
          <w:rFonts w:ascii="Calibri" w:eastAsia="Calibri" w:hAnsi="Calibri" w:cs="Calibri"/>
          <w:lang w:eastAsia="en-US"/>
        </w:rPr>
        <w:t>Moving forward, it is evident that genuine reform is essential if anti-corruption efforts are to align with democratic principles rather than serve as a false display of legality. First, the independence of ACAs must be more than nominal. Legislative reforms are needed to protect the ICPC and EFCC from undue influence, especially from the executive and the Attorney General, whose powers to intervene have repeatedly been a source of politicised interference.</w:t>
      </w:r>
    </w:p>
    <w:p w14:paraId="71394A19" w14:textId="63AC9E9C" w:rsidR="007B43D0" w:rsidRPr="007B43D0" w:rsidRDefault="007B43D0" w:rsidP="002F4E00">
      <w:pPr>
        <w:spacing w:before="240" w:line="360" w:lineRule="auto"/>
        <w:ind w:firstLine="720"/>
        <w:jc w:val="both"/>
        <w:rPr>
          <w:rFonts w:ascii="Calibri" w:eastAsia="Calibri" w:hAnsi="Calibri" w:cs="Calibri"/>
          <w:lang w:eastAsia="en-US"/>
        </w:rPr>
      </w:pPr>
      <w:r w:rsidRPr="007B43D0">
        <w:rPr>
          <w:rFonts w:ascii="Calibri" w:eastAsia="Calibri" w:hAnsi="Calibri" w:cs="Calibri"/>
          <w:lang w:eastAsia="en-US"/>
        </w:rPr>
        <w:t>Alongside legislative reform, the establishment of an independent oversight body could ensure greater transparency in anti-corruption operations. Such an entity would ideally comprise judicial or non-partisan representatives, which would assist to provide a check on the activities of ACAs and fostering public confidence in their impartiality. If the criteria for case selection used by these ACAs were more transparent, it would mitigate the perception of selective prosecution that currently undermines their credibility.</w:t>
      </w:r>
    </w:p>
    <w:p w14:paraId="3DDC917A" w14:textId="77777777" w:rsidR="007B43D0" w:rsidRPr="007B43D0" w:rsidRDefault="007B43D0" w:rsidP="002F4E00">
      <w:pPr>
        <w:spacing w:before="240" w:line="360" w:lineRule="auto"/>
        <w:ind w:firstLine="720"/>
        <w:jc w:val="both"/>
        <w:rPr>
          <w:rFonts w:ascii="Calibri" w:eastAsia="Calibri" w:hAnsi="Calibri" w:cs="Calibri"/>
          <w:lang w:eastAsia="en-US"/>
        </w:rPr>
      </w:pPr>
      <w:r w:rsidRPr="007B43D0">
        <w:rPr>
          <w:rFonts w:ascii="Calibri" w:eastAsia="Calibri" w:hAnsi="Calibri" w:cs="Calibri"/>
          <w:lang w:eastAsia="en-US"/>
        </w:rPr>
        <w:t xml:space="preserve">Additionally, the constitutional role of the Attorney General (AG) requires re-examination. While the Attorney General holds a key position in overseeing prosecutions, the </w:t>
      </w:r>
      <w:r w:rsidRPr="007B43D0">
        <w:rPr>
          <w:rFonts w:ascii="Calibri" w:eastAsia="Calibri" w:hAnsi="Calibri" w:cs="Calibri"/>
          <w:lang w:eastAsia="en-US"/>
        </w:rPr>
        <w:lastRenderedPageBreak/>
        <w:t>powers to discontinue cases must be regulated to prevent misuse, particularly in high-profile corruption cases involving political figures. The powers of the AG should be exercised judiciously in the interest of justice and not to promote impunity for corruption. While the constitutional powers of the AG need not be abrogated, the constitutional provisions should be reviewed to qualify the exercise of such power and subject it to judicial review in the interest of justice. It might be Nigeria’s anti-corruption initiative would also benefit from stronger partnerships with civil society. Engaging civil society organisations as allies in monitoring anti-corruption initiatives would provide the agencies with a more consistent, community-driven form of accountability. This approach could also help address corrupt practices at lower levels of government.</w:t>
      </w:r>
    </w:p>
    <w:p w14:paraId="51C5BA7A" w14:textId="77777777" w:rsidR="007B43D0" w:rsidRPr="007B43D0" w:rsidRDefault="007B43D0" w:rsidP="002F4E00">
      <w:pPr>
        <w:spacing w:before="240" w:line="360" w:lineRule="auto"/>
        <w:ind w:firstLine="720"/>
        <w:jc w:val="both"/>
        <w:rPr>
          <w:rFonts w:ascii="Calibri" w:eastAsia="Calibri" w:hAnsi="Calibri" w:cs="Calibri"/>
          <w:lang w:eastAsia="en-US"/>
        </w:rPr>
      </w:pPr>
      <w:r w:rsidRPr="007B43D0">
        <w:rPr>
          <w:rFonts w:ascii="Calibri" w:eastAsia="Calibri" w:hAnsi="Calibri" w:cs="Calibri"/>
          <w:lang w:eastAsia="en-US"/>
        </w:rPr>
        <w:t>Lastly, it is essential that these ACAs are equipped not only with mandates but with adequate resources, training, and tools to perform their duties effectively. Building institutional capacity is a long-term investment that would enhance the ability of ACAs to carry out thorough investigations and uphold integrity in prosecutions.</w:t>
      </w:r>
    </w:p>
    <w:p w14:paraId="298FCD43" w14:textId="77777777" w:rsidR="007B43D0" w:rsidRPr="007B43D0" w:rsidRDefault="007B43D0" w:rsidP="007B43D0">
      <w:pPr>
        <w:spacing w:before="240" w:line="360" w:lineRule="auto"/>
        <w:jc w:val="both"/>
        <w:rPr>
          <w:rFonts w:ascii="Calibri" w:eastAsia="Calibri" w:hAnsi="Calibri" w:cs="Calibri"/>
          <w:lang w:eastAsia="en-US"/>
        </w:rPr>
      </w:pPr>
      <w:r w:rsidRPr="007B43D0">
        <w:rPr>
          <w:rFonts w:ascii="Calibri" w:eastAsia="Calibri" w:hAnsi="Calibri" w:cs="Calibri"/>
          <w:lang w:eastAsia="en-US"/>
        </w:rPr>
        <w:t>Thus, by implementing these reforms, Nigeria can reorient its anti-corruption efforts towards genuine accountability, with the rule of law as a standard guiding principle rather than a political tool. True independence and transparency within anti-corruption agencies, in the discharge of their functions or execution of their mandates, will not only strengthen public trust but also reinforce Nigeria’s democratic foundations and strengthen the nation as a democracy now and into the future.</w:t>
      </w:r>
    </w:p>
    <w:p w14:paraId="2B35702B" w14:textId="15D84132" w:rsidR="00786343" w:rsidRPr="002F4E00" w:rsidRDefault="00786343" w:rsidP="00786343">
      <w:pPr>
        <w:spacing w:line="360" w:lineRule="auto"/>
        <w:jc w:val="both"/>
        <w:rPr>
          <w:rFonts w:ascii="Calibri" w:hAnsi="Calibri" w:cs="Calibri"/>
        </w:rPr>
      </w:pPr>
      <w:bookmarkStart w:id="60" w:name="_GoBack"/>
      <w:bookmarkEnd w:id="0"/>
      <w:bookmarkEnd w:id="1"/>
      <w:bookmarkEnd w:id="56"/>
      <w:bookmarkEnd w:id="60"/>
    </w:p>
    <w:sectPr w:rsidR="00786343" w:rsidRPr="002F4E00" w:rsidSect="007B4342">
      <w:headerReference w:type="default" r:id="rId8"/>
      <w:footerReference w:type="default" r:id="rId9"/>
      <w:footerReference w:type="first" r:id="rId10"/>
      <w:pgSz w:w="11906" w:h="16838"/>
      <w:pgMar w:top="1440" w:right="1440" w:bottom="1440" w:left="1440" w:header="708" w:footer="708" w:gutter="0"/>
      <w:pgNumType w:start="2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C7826" w14:textId="77777777" w:rsidR="00257D47" w:rsidRDefault="00257D47" w:rsidP="0051670F">
      <w:r>
        <w:separator/>
      </w:r>
    </w:p>
  </w:endnote>
  <w:endnote w:type="continuationSeparator" w:id="0">
    <w:p w14:paraId="4B262195" w14:textId="77777777" w:rsidR="00257D47" w:rsidRDefault="00257D47" w:rsidP="00516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595147"/>
      <w:docPartObj>
        <w:docPartGallery w:val="Page Numbers (Bottom of Page)"/>
        <w:docPartUnique/>
      </w:docPartObj>
    </w:sdtPr>
    <w:sdtEndPr>
      <w:rPr>
        <w:noProof/>
      </w:rPr>
    </w:sdtEndPr>
    <w:sdtContent>
      <w:p w14:paraId="2C7CFEB7" w14:textId="7FC2378D" w:rsidR="002F60BA" w:rsidRDefault="002F60BA" w:rsidP="007309A7">
        <w:pPr>
          <w:pStyle w:val="Footer"/>
        </w:pPr>
        <w:r w:rsidRPr="001501A0">
          <w:rPr>
            <w:rFonts w:asciiTheme="minorHAnsi" w:hAnsiTheme="minorHAnsi" w:cstheme="minorHAnsi"/>
            <w:sz w:val="22"/>
            <w:szCs w:val="22"/>
          </w:rPr>
          <w:t xml:space="preserve">JACL </w:t>
        </w:r>
        <w:r w:rsidR="00BF6BB7">
          <w:rPr>
            <w:rFonts w:asciiTheme="minorHAnsi" w:hAnsiTheme="minorHAnsi" w:cstheme="minorHAnsi"/>
            <w:sz w:val="22"/>
            <w:szCs w:val="22"/>
          </w:rPr>
          <w:t>9</w:t>
        </w:r>
        <w:r w:rsidRPr="001501A0">
          <w:rPr>
            <w:rFonts w:asciiTheme="minorHAnsi" w:hAnsiTheme="minorHAnsi" w:cstheme="minorHAnsi"/>
            <w:sz w:val="22"/>
            <w:szCs w:val="22"/>
          </w:rPr>
          <w:t xml:space="preserve"> 202</w:t>
        </w:r>
        <w:r w:rsidR="00BF6BB7">
          <w:rPr>
            <w:rFonts w:asciiTheme="minorHAnsi" w:hAnsiTheme="minorHAnsi" w:cstheme="minorHAnsi"/>
            <w:sz w:val="22"/>
            <w:szCs w:val="22"/>
          </w:rPr>
          <w:t>5</w:t>
        </w:r>
        <w:r w:rsidRPr="001501A0">
          <w:rPr>
            <w:rFonts w:asciiTheme="minorHAnsi" w:hAnsiTheme="minorHAnsi" w:cstheme="minorHAnsi"/>
            <w:sz w:val="22"/>
            <w:szCs w:val="22"/>
          </w:rPr>
          <w:t xml:space="preserve"> </w:t>
        </w:r>
        <w:r w:rsidR="007B4342">
          <w:rPr>
            <w:rFonts w:asciiTheme="minorHAnsi" w:hAnsiTheme="minorHAnsi" w:cstheme="minorHAnsi"/>
            <w:sz w:val="22"/>
            <w:szCs w:val="22"/>
          </w:rPr>
          <w:t>27</w:t>
        </w:r>
        <w:r w:rsidR="00283971">
          <w:rPr>
            <w:rFonts w:asciiTheme="minorHAnsi" w:hAnsiTheme="minorHAnsi" w:cstheme="minorHAnsi"/>
            <w:sz w:val="22"/>
            <w:szCs w:val="22"/>
          </w:rPr>
          <w:t xml:space="preserve"> -</w:t>
        </w:r>
        <w:r w:rsidRPr="001501A0">
          <w:rPr>
            <w:rFonts w:asciiTheme="minorHAnsi" w:hAnsiTheme="minorHAnsi" w:cstheme="minorHAnsi"/>
            <w:sz w:val="22"/>
            <w:szCs w:val="22"/>
          </w:rPr>
          <w:t xml:space="preserve"> </w:t>
        </w:r>
        <w:r w:rsidR="007B4342">
          <w:rPr>
            <w:rFonts w:asciiTheme="minorHAnsi" w:hAnsiTheme="minorHAnsi" w:cstheme="minorHAnsi"/>
            <w:sz w:val="22"/>
            <w:szCs w:val="22"/>
          </w:rPr>
          <w:t>42</w:t>
        </w:r>
        <w:r>
          <w:t xml:space="preserve">  </w:t>
        </w:r>
        <w:r>
          <w:tab/>
        </w:r>
        <w:r>
          <w:tab/>
        </w:r>
        <w:r>
          <w:fldChar w:fldCharType="begin"/>
        </w:r>
        <w:r>
          <w:instrText xml:space="preserve"> PAGE   \* MERGEFORMAT </w:instrText>
        </w:r>
        <w:r>
          <w:fldChar w:fldCharType="separate"/>
        </w:r>
        <w:r>
          <w:t>55</w:t>
        </w:r>
        <w:r>
          <w:rPr>
            <w:noProof/>
          </w:rPr>
          <w:fldChar w:fldCharType="end"/>
        </w:r>
      </w:p>
    </w:sdtContent>
  </w:sdt>
  <w:p w14:paraId="2F0D87BF" w14:textId="6ECAFEDA" w:rsidR="002F60BA" w:rsidRPr="007309A7" w:rsidRDefault="002F60BA" w:rsidP="007309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019ED" w14:textId="77777777" w:rsidR="002F60BA" w:rsidRDefault="002F60BA" w:rsidP="003501A6">
    <w:pPr>
      <w:pStyle w:val="Footer"/>
      <w:tabs>
        <w:tab w:val="clear" w:pos="9026"/>
        <w:tab w:val="right" w:pos="8190"/>
      </w:tabs>
      <w:ind w:right="602"/>
      <w:rPr>
        <w:rFonts w:cstheme="minorHAnsi"/>
      </w:rPr>
    </w:pPr>
  </w:p>
  <w:p w14:paraId="1DE5C342" w14:textId="4F662897" w:rsidR="002F60BA" w:rsidRDefault="002F60BA" w:rsidP="003501A6">
    <w:pPr>
      <w:pStyle w:val="Footer"/>
      <w:tabs>
        <w:tab w:val="clear" w:pos="9026"/>
        <w:tab w:val="right" w:pos="8190"/>
      </w:tabs>
      <w:ind w:right="602"/>
    </w:pPr>
    <w:r>
      <w:rPr>
        <w:rFonts w:cstheme="minorHAnsi"/>
      </w:rPr>
      <w:t>JACL 6</w:t>
    </w:r>
    <w:r w:rsidRPr="00D629D8">
      <w:rPr>
        <w:rFonts w:cstheme="minorHAnsi"/>
      </w:rPr>
      <w:t xml:space="preserve"> 20</w:t>
    </w:r>
    <w:r>
      <w:rPr>
        <w:rFonts w:cstheme="minorHAnsi"/>
      </w:rPr>
      <w:t>22</w:t>
    </w:r>
    <w:r w:rsidRPr="00D629D8">
      <w:rPr>
        <w:rFonts w:cstheme="minorHAnsi"/>
      </w:rPr>
      <w:t xml:space="preserve"> pp </w:t>
    </w:r>
    <w:r>
      <w:rPr>
        <w:rFonts w:cstheme="minorHAnsi"/>
      </w:rPr>
      <w:t>xxx</w:t>
    </w:r>
    <w:r w:rsidRPr="00D629D8">
      <w:rPr>
        <w:rFonts w:cstheme="minorHAnsi"/>
      </w:rPr>
      <w:t xml:space="preserve"> – </w:t>
    </w:r>
    <w:r>
      <w:rPr>
        <w:rFonts w:cstheme="minorHAnsi"/>
      </w:rPr>
      <w:t>yyy</w:t>
    </w:r>
  </w:p>
  <w:p w14:paraId="56CFC426" w14:textId="184211A8" w:rsidR="002F60BA" w:rsidRDefault="002F60BA">
    <w:pPr>
      <w:pStyle w:val="Footer"/>
    </w:pPr>
  </w:p>
  <w:p w14:paraId="333D6EC8" w14:textId="77777777" w:rsidR="002F60BA" w:rsidRDefault="002F60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70AE6" w14:textId="77777777" w:rsidR="00257D47" w:rsidRDefault="00257D47" w:rsidP="0051670F">
      <w:r>
        <w:separator/>
      </w:r>
    </w:p>
  </w:footnote>
  <w:footnote w:type="continuationSeparator" w:id="0">
    <w:p w14:paraId="7F155A83" w14:textId="77777777" w:rsidR="00257D47" w:rsidRDefault="00257D47" w:rsidP="0051670F">
      <w:r>
        <w:continuationSeparator/>
      </w:r>
    </w:p>
  </w:footnote>
  <w:footnote w:id="1">
    <w:p w14:paraId="42B517E9" w14:textId="209EB70B" w:rsidR="00C61E41" w:rsidRPr="00345597" w:rsidRDefault="00C61E41" w:rsidP="007B4342">
      <w:pPr>
        <w:pStyle w:val="FootnoteText"/>
        <w:ind w:left="720" w:hanging="720"/>
        <w:rPr>
          <w:rFonts w:asciiTheme="minorHAnsi" w:hAnsiTheme="minorHAnsi" w:cstheme="minorHAnsi"/>
          <w:sz w:val="24"/>
          <w:szCs w:val="24"/>
          <w:lang w:val="en-US"/>
        </w:rPr>
      </w:pPr>
      <w:r w:rsidRPr="00345597">
        <w:rPr>
          <w:rStyle w:val="FootnoteReference"/>
          <w:rFonts w:asciiTheme="minorHAnsi" w:hAnsiTheme="minorHAnsi" w:cstheme="minorHAnsi"/>
          <w:sz w:val="24"/>
          <w:szCs w:val="24"/>
        </w:rPr>
        <w:t>*</w:t>
      </w:r>
      <w:r w:rsidRPr="00345597">
        <w:rPr>
          <w:rFonts w:asciiTheme="minorHAnsi" w:hAnsiTheme="minorHAnsi" w:cstheme="minorHAnsi"/>
          <w:sz w:val="24"/>
          <w:szCs w:val="24"/>
        </w:rPr>
        <w:t xml:space="preserve"> </w:t>
      </w:r>
      <w:r w:rsidR="00BD76F5" w:rsidRPr="00345597">
        <w:rPr>
          <w:rFonts w:asciiTheme="minorHAnsi" w:hAnsiTheme="minorHAnsi" w:cstheme="minorHAnsi"/>
          <w:sz w:val="24"/>
          <w:szCs w:val="24"/>
        </w:rPr>
        <w:tab/>
      </w:r>
      <w:r w:rsidR="00C149AF" w:rsidRPr="00345597">
        <w:rPr>
          <w:rFonts w:asciiTheme="minorHAnsi" w:hAnsiTheme="minorHAnsi" w:cstheme="minorHAnsi"/>
          <w:sz w:val="24"/>
          <w:szCs w:val="24"/>
        </w:rPr>
        <w:t xml:space="preserve">Associate Professor of Law, Dullah Omar Institute for Constitutional Law, Governance and Human Rights, Faculty of Law, University of the Western Cape; </w:t>
      </w:r>
      <w:hyperlink r:id="rId1" w:history="1">
        <w:r w:rsidR="00C149AF" w:rsidRPr="00345597">
          <w:rPr>
            <w:rStyle w:val="Hyperlink"/>
            <w:rFonts w:asciiTheme="minorHAnsi" w:hAnsiTheme="minorHAnsi" w:cstheme="minorHAnsi"/>
            <w:color w:val="auto"/>
            <w:sz w:val="24"/>
            <w:szCs w:val="24"/>
            <w:u w:val="none"/>
          </w:rPr>
          <w:t>uassim@uwc.ac.za</w:t>
        </w:r>
      </w:hyperlink>
      <w:r w:rsidR="00C149AF" w:rsidRPr="00345597">
        <w:rPr>
          <w:rFonts w:asciiTheme="minorHAnsi" w:hAnsiTheme="minorHAnsi" w:cstheme="minorHAnsi"/>
          <w:sz w:val="24"/>
          <w:szCs w:val="24"/>
        </w:rPr>
        <w:t xml:space="preserve">; ORCID: </w:t>
      </w:r>
      <w:r w:rsidR="001A556C" w:rsidRPr="00345597">
        <w:rPr>
          <w:rFonts w:asciiTheme="minorHAnsi" w:hAnsiTheme="minorHAnsi" w:cstheme="minorHAnsi"/>
          <w:sz w:val="24"/>
          <w:szCs w:val="24"/>
        </w:rPr>
        <w:t>0009-</w:t>
      </w:r>
      <w:r w:rsidR="00C149AF" w:rsidRPr="00345597">
        <w:rPr>
          <w:rFonts w:asciiTheme="minorHAnsi" w:hAnsiTheme="minorHAnsi" w:cstheme="minorHAnsi"/>
          <w:sz w:val="24"/>
          <w:szCs w:val="24"/>
        </w:rPr>
        <w:t>0006-9919-6593.</w:t>
      </w:r>
    </w:p>
  </w:footnote>
  <w:footnote w:id="2">
    <w:p w14:paraId="2357ED78" w14:textId="031563DD" w:rsidR="00C61E41" w:rsidRPr="00345597" w:rsidRDefault="00C61E41" w:rsidP="001A556C">
      <w:pPr>
        <w:pStyle w:val="FootnoteText"/>
        <w:ind w:left="720" w:hanging="720"/>
        <w:jc w:val="both"/>
        <w:rPr>
          <w:lang w:val="en-US"/>
        </w:rPr>
      </w:pPr>
      <w:r w:rsidRPr="00345597">
        <w:rPr>
          <w:rStyle w:val="FootnoteReference"/>
          <w:rFonts w:asciiTheme="minorHAnsi" w:hAnsiTheme="minorHAnsi" w:cstheme="minorHAnsi"/>
          <w:sz w:val="24"/>
          <w:szCs w:val="24"/>
        </w:rPr>
        <w:t>**</w:t>
      </w:r>
      <w:r w:rsidRPr="00345597">
        <w:rPr>
          <w:rFonts w:asciiTheme="minorHAnsi" w:hAnsiTheme="minorHAnsi" w:cstheme="minorHAnsi"/>
          <w:sz w:val="24"/>
          <w:szCs w:val="24"/>
        </w:rPr>
        <w:t xml:space="preserve"> </w:t>
      </w:r>
      <w:r w:rsidR="00BD76F5" w:rsidRPr="00345597">
        <w:rPr>
          <w:rFonts w:asciiTheme="minorHAnsi" w:hAnsiTheme="minorHAnsi" w:cstheme="minorHAnsi"/>
          <w:sz w:val="24"/>
          <w:szCs w:val="24"/>
        </w:rPr>
        <w:tab/>
      </w:r>
      <w:r w:rsidR="00C149AF" w:rsidRPr="00345597">
        <w:rPr>
          <w:rFonts w:asciiTheme="minorHAnsi" w:hAnsiTheme="minorHAnsi" w:cstheme="minorHAnsi"/>
          <w:sz w:val="24"/>
          <w:szCs w:val="24"/>
        </w:rPr>
        <w:t xml:space="preserve">Senior Lecturer, </w:t>
      </w:r>
      <w:r w:rsidR="001A556C" w:rsidRPr="00345597">
        <w:rPr>
          <w:rFonts w:asciiTheme="minorHAnsi" w:hAnsiTheme="minorHAnsi" w:cstheme="minorHAnsi"/>
          <w:sz w:val="24"/>
          <w:szCs w:val="24"/>
        </w:rPr>
        <w:t xml:space="preserve">Department of Public Law, Faculty of Law, University of Ibadan; </w:t>
      </w:r>
      <w:hyperlink r:id="rId2" w:history="1">
        <w:r w:rsidR="001A556C" w:rsidRPr="00345597">
          <w:rPr>
            <w:rStyle w:val="Hyperlink"/>
            <w:rFonts w:asciiTheme="minorHAnsi" w:hAnsiTheme="minorHAnsi" w:cstheme="minorHAnsi"/>
            <w:color w:val="auto"/>
            <w:sz w:val="24"/>
            <w:szCs w:val="24"/>
            <w:u w:val="none"/>
          </w:rPr>
          <w:t>dd.adeyemo@ui.edu.ng</w:t>
        </w:r>
      </w:hyperlink>
      <w:r w:rsidR="001A556C" w:rsidRPr="00345597">
        <w:rPr>
          <w:rFonts w:asciiTheme="minorHAnsi" w:hAnsiTheme="minorHAnsi" w:cstheme="minorHAnsi"/>
          <w:sz w:val="24"/>
          <w:szCs w:val="24"/>
        </w:rPr>
        <w:t>; ORCID: 0000-0002-0976-0781.</w:t>
      </w:r>
    </w:p>
  </w:footnote>
  <w:footnote w:id="3">
    <w:p w14:paraId="353061D3" w14:textId="77777777" w:rsidR="0081602B" w:rsidRPr="00345597" w:rsidRDefault="007B43D0" w:rsidP="007B43D0">
      <w:pPr>
        <w:pStyle w:val="FootnoteText"/>
        <w:jc w:val="both"/>
        <w:rPr>
          <w:rFonts w:ascii="Calibri" w:hAnsi="Calibri" w:cs="Calibri"/>
          <w:sz w:val="24"/>
          <w:szCs w:val="24"/>
        </w:rPr>
      </w:pPr>
      <w:r w:rsidRPr="00345597">
        <w:rPr>
          <w:rStyle w:val="FootnoteReference"/>
          <w:rFonts w:ascii="Calibri" w:hAnsi="Calibri" w:cs="Calibri"/>
          <w:sz w:val="24"/>
          <w:szCs w:val="24"/>
          <w:vertAlign w:val="baseline"/>
        </w:rPr>
        <w:footnoteRef/>
      </w:r>
      <w:r w:rsidRPr="00345597">
        <w:rPr>
          <w:rFonts w:ascii="Calibri" w:hAnsi="Calibri" w:cs="Calibri"/>
          <w:sz w:val="24"/>
          <w:szCs w:val="24"/>
        </w:rPr>
        <w:t xml:space="preserve"> </w:t>
      </w:r>
      <w:r w:rsidR="002F4E00" w:rsidRPr="00345597">
        <w:rPr>
          <w:rFonts w:ascii="Calibri" w:hAnsi="Calibri" w:cs="Calibri"/>
          <w:sz w:val="24"/>
          <w:szCs w:val="24"/>
        </w:rPr>
        <w:tab/>
      </w:r>
      <w:r w:rsidRPr="00345597">
        <w:rPr>
          <w:rFonts w:ascii="Calibri" w:hAnsi="Calibri" w:cs="Calibri"/>
          <w:sz w:val="24"/>
          <w:szCs w:val="24"/>
        </w:rPr>
        <w:t xml:space="preserve">Over the decades, Nigeria has consistently ranked low on the Corruption Perception </w:t>
      </w:r>
    </w:p>
    <w:p w14:paraId="2563BC54" w14:textId="1C25B62B" w:rsidR="007B43D0" w:rsidRPr="00345597" w:rsidRDefault="007B43D0" w:rsidP="0081602B">
      <w:pPr>
        <w:pStyle w:val="FootnoteText"/>
        <w:ind w:firstLine="720"/>
        <w:jc w:val="both"/>
        <w:rPr>
          <w:rFonts w:ascii="Calibri" w:hAnsi="Calibri" w:cs="Calibri"/>
          <w:sz w:val="24"/>
          <w:szCs w:val="24"/>
        </w:rPr>
      </w:pPr>
      <w:r w:rsidRPr="00345597">
        <w:rPr>
          <w:rFonts w:ascii="Calibri" w:hAnsi="Calibri" w:cs="Calibri"/>
          <w:sz w:val="24"/>
          <w:szCs w:val="24"/>
        </w:rPr>
        <w:t>Index with a score ranging from 24-27.</w:t>
      </w:r>
    </w:p>
  </w:footnote>
  <w:footnote w:id="4">
    <w:p w14:paraId="753D0908" w14:textId="77777777" w:rsidR="0081602B" w:rsidRPr="00345597" w:rsidRDefault="007B43D0" w:rsidP="007B43D0">
      <w:pPr>
        <w:pStyle w:val="FootnoteText"/>
        <w:jc w:val="both"/>
        <w:rPr>
          <w:rFonts w:ascii="Calibri" w:hAnsi="Calibri" w:cs="Calibri"/>
          <w:sz w:val="24"/>
          <w:szCs w:val="24"/>
          <w:lang w:val="en-US"/>
        </w:rPr>
      </w:pPr>
      <w:r w:rsidRPr="00345597">
        <w:rPr>
          <w:rStyle w:val="FootnoteReference"/>
          <w:rFonts w:ascii="Calibri" w:hAnsi="Calibri" w:cs="Calibri"/>
          <w:sz w:val="24"/>
          <w:szCs w:val="24"/>
          <w:vertAlign w:val="baseline"/>
        </w:rPr>
        <w:footnoteRef/>
      </w:r>
      <w:r w:rsidRPr="00345597">
        <w:rPr>
          <w:rFonts w:ascii="Calibri" w:hAnsi="Calibri" w:cs="Calibri"/>
          <w:sz w:val="24"/>
          <w:szCs w:val="24"/>
        </w:rPr>
        <w:t xml:space="preserve"> </w:t>
      </w:r>
      <w:r w:rsidR="0081602B" w:rsidRPr="00345597">
        <w:rPr>
          <w:rFonts w:ascii="Calibri" w:hAnsi="Calibri" w:cs="Calibri"/>
          <w:sz w:val="24"/>
          <w:szCs w:val="24"/>
        </w:rPr>
        <w:tab/>
      </w:r>
      <w:r w:rsidRPr="00345597">
        <w:rPr>
          <w:rFonts w:ascii="Calibri" w:hAnsi="Calibri" w:cs="Calibri"/>
          <w:sz w:val="24"/>
          <w:szCs w:val="24"/>
          <w:lang w:val="en-US"/>
        </w:rPr>
        <w:t xml:space="preserve">Over the years the political interference in the exercise of the powers by principal </w:t>
      </w:r>
    </w:p>
    <w:p w14:paraId="7E3CB7C8" w14:textId="05E9CBD3" w:rsidR="007B43D0" w:rsidRPr="00345597" w:rsidRDefault="007B43D0" w:rsidP="0081602B">
      <w:pPr>
        <w:pStyle w:val="FootnoteText"/>
        <w:ind w:left="720"/>
        <w:jc w:val="both"/>
        <w:rPr>
          <w:rFonts w:ascii="Calibri" w:hAnsi="Calibri" w:cs="Calibri"/>
          <w:sz w:val="24"/>
          <w:szCs w:val="24"/>
          <w:lang w:val="en-US"/>
        </w:rPr>
      </w:pPr>
      <w:r w:rsidRPr="00345597">
        <w:rPr>
          <w:rFonts w:ascii="Calibri" w:hAnsi="Calibri" w:cs="Calibri"/>
          <w:sz w:val="24"/>
          <w:szCs w:val="24"/>
          <w:lang w:val="en-US"/>
        </w:rPr>
        <w:t>ACAs, selective prosecution of alleged corrupt officials and indiscriminate withdrawal of corruption charges against former political opponents suggest that the anti-corruption policies and strategies have been weaponized as political tools to assert political authority and silence political oppositions rather than genuinely tackling corruption as a menace to the nation.</w:t>
      </w:r>
    </w:p>
  </w:footnote>
  <w:footnote w:id="5">
    <w:p w14:paraId="1BC74317" w14:textId="77777777" w:rsidR="0081602B" w:rsidRPr="00345597" w:rsidRDefault="007B43D0" w:rsidP="007B43D0">
      <w:pPr>
        <w:pStyle w:val="FootnoteText"/>
        <w:jc w:val="both"/>
        <w:rPr>
          <w:rFonts w:ascii="Calibri" w:hAnsi="Calibri" w:cs="Calibri"/>
          <w:sz w:val="24"/>
          <w:szCs w:val="24"/>
        </w:rPr>
      </w:pPr>
      <w:r w:rsidRPr="00345597">
        <w:rPr>
          <w:rStyle w:val="FootnoteReference"/>
          <w:rFonts w:ascii="Calibri" w:hAnsi="Calibri" w:cs="Calibri"/>
          <w:sz w:val="24"/>
          <w:szCs w:val="24"/>
          <w:vertAlign w:val="baseline"/>
        </w:rPr>
        <w:footnoteRef/>
      </w:r>
      <w:r w:rsidRPr="00345597">
        <w:rPr>
          <w:rFonts w:ascii="Calibri" w:hAnsi="Calibri" w:cs="Calibri"/>
          <w:sz w:val="24"/>
          <w:szCs w:val="24"/>
        </w:rPr>
        <w:t xml:space="preserve"> </w:t>
      </w:r>
      <w:r w:rsidR="0081602B" w:rsidRPr="00345597">
        <w:rPr>
          <w:rFonts w:ascii="Calibri" w:hAnsi="Calibri" w:cs="Calibri"/>
          <w:sz w:val="24"/>
          <w:szCs w:val="24"/>
        </w:rPr>
        <w:tab/>
      </w:r>
      <w:r w:rsidRPr="00345597">
        <w:rPr>
          <w:rFonts w:ascii="Calibri" w:hAnsi="Calibri" w:cs="Calibri"/>
          <w:sz w:val="24"/>
          <w:szCs w:val="24"/>
        </w:rPr>
        <w:t xml:space="preserve">The national Anti-Corruption Strategy is the first comprehensive national strategy </w:t>
      </w:r>
    </w:p>
    <w:p w14:paraId="7A63689E" w14:textId="5F56B0BE" w:rsidR="007B43D0" w:rsidRPr="00345597" w:rsidRDefault="007B43D0" w:rsidP="0081602B">
      <w:pPr>
        <w:pStyle w:val="FootnoteText"/>
        <w:ind w:firstLine="720"/>
        <w:jc w:val="both"/>
        <w:rPr>
          <w:rFonts w:ascii="Calibri" w:hAnsi="Calibri" w:cs="Calibri"/>
          <w:sz w:val="24"/>
          <w:szCs w:val="24"/>
          <w:lang w:val="en-US"/>
        </w:rPr>
      </w:pPr>
      <w:r w:rsidRPr="00345597">
        <w:rPr>
          <w:rFonts w:ascii="Calibri" w:hAnsi="Calibri" w:cs="Calibri"/>
          <w:sz w:val="24"/>
          <w:szCs w:val="24"/>
        </w:rPr>
        <w:t>against corruption following failed previous attempt in 2011.</w:t>
      </w:r>
    </w:p>
  </w:footnote>
  <w:footnote w:id="6">
    <w:p w14:paraId="52B16411" w14:textId="46658992" w:rsidR="007B43D0" w:rsidRPr="00345597" w:rsidRDefault="007B43D0" w:rsidP="007954E5">
      <w:pPr>
        <w:pStyle w:val="FootnoteText"/>
        <w:ind w:left="709" w:hanging="709"/>
        <w:jc w:val="both"/>
        <w:rPr>
          <w:rFonts w:ascii="Calibri" w:hAnsi="Calibri" w:cs="Calibri"/>
          <w:sz w:val="24"/>
          <w:szCs w:val="24"/>
          <w:lang w:val="en-US"/>
        </w:rPr>
      </w:pPr>
      <w:r w:rsidRPr="00345597">
        <w:rPr>
          <w:rStyle w:val="FootnoteReference"/>
          <w:rFonts w:ascii="Calibri" w:hAnsi="Calibri" w:cs="Calibri"/>
          <w:sz w:val="24"/>
          <w:szCs w:val="24"/>
          <w:vertAlign w:val="baseline"/>
        </w:rPr>
        <w:footnoteRef/>
      </w:r>
      <w:r w:rsidRPr="00345597">
        <w:rPr>
          <w:rFonts w:ascii="Calibri" w:hAnsi="Calibri" w:cs="Calibri"/>
          <w:sz w:val="24"/>
          <w:szCs w:val="24"/>
        </w:rPr>
        <w:t xml:space="preserve"> </w:t>
      </w:r>
      <w:r w:rsidR="0081602B" w:rsidRPr="00345597">
        <w:rPr>
          <w:rFonts w:ascii="Calibri" w:hAnsi="Calibri" w:cs="Calibri"/>
          <w:sz w:val="24"/>
          <w:szCs w:val="24"/>
        </w:rPr>
        <w:tab/>
      </w:r>
      <w:r w:rsidRPr="00345597">
        <w:rPr>
          <w:rFonts w:ascii="Calibri" w:hAnsi="Calibri" w:cs="Calibri"/>
          <w:sz w:val="24"/>
          <w:szCs w:val="24"/>
        </w:rPr>
        <w:t xml:space="preserve">Timothy </w:t>
      </w:r>
      <w:proofErr w:type="spellStart"/>
      <w:r w:rsidRPr="00345597">
        <w:rPr>
          <w:rFonts w:ascii="Calibri" w:hAnsi="Calibri" w:cs="Calibri"/>
          <w:sz w:val="24"/>
          <w:szCs w:val="24"/>
        </w:rPr>
        <w:t>Choji</w:t>
      </w:r>
      <w:proofErr w:type="spellEnd"/>
      <w:r w:rsidRPr="00345597">
        <w:rPr>
          <w:rFonts w:ascii="Calibri" w:hAnsi="Calibri" w:cs="Calibri"/>
          <w:sz w:val="24"/>
          <w:szCs w:val="24"/>
        </w:rPr>
        <w:t xml:space="preserve"> ‘’ VON  (23 November 2022) &lt;</w:t>
      </w:r>
      <w:hyperlink r:id="rId3" w:anchor=":~:text=The%20Federal%20Executive%20Council%20has,of%20the%20Federation%2C%20Abubakar%20Malami" w:history="1">
        <w:r w:rsidRPr="00345597">
          <w:rPr>
            <w:rStyle w:val="Hyperlink"/>
            <w:rFonts w:ascii="Calibri" w:hAnsi="Calibri" w:cs="Calibri"/>
            <w:color w:val="auto"/>
            <w:sz w:val="24"/>
            <w:szCs w:val="24"/>
            <w:u w:val="none"/>
          </w:rPr>
          <w:t>https://von.gov.ng/federal-executive-council-approves-new-anti-corruption-strategy-document/#:~:text=The%20Federal%20Executive%20Council%20has,of%20the%20Federation%2C%20Abubakar%20Malami</w:t>
        </w:r>
      </w:hyperlink>
      <w:r w:rsidRPr="00345597">
        <w:rPr>
          <w:rFonts w:ascii="Calibri" w:hAnsi="Calibri" w:cs="Calibri"/>
          <w:sz w:val="24"/>
          <w:szCs w:val="24"/>
        </w:rPr>
        <w:t>&gt; Accessed 19 September, 2024</w:t>
      </w:r>
    </w:p>
  </w:footnote>
  <w:footnote w:id="7">
    <w:p w14:paraId="7A58C4F3" w14:textId="38BDF6B2" w:rsidR="007B43D0" w:rsidRPr="00345597" w:rsidRDefault="007B43D0" w:rsidP="007B43D0">
      <w:pPr>
        <w:pStyle w:val="FootnoteText"/>
        <w:jc w:val="both"/>
        <w:rPr>
          <w:rFonts w:ascii="Calibri" w:hAnsi="Calibri" w:cs="Calibri"/>
          <w:sz w:val="24"/>
          <w:szCs w:val="24"/>
          <w:lang w:val="en-US"/>
        </w:rPr>
      </w:pPr>
      <w:r w:rsidRPr="00345597">
        <w:rPr>
          <w:rStyle w:val="FootnoteReference"/>
          <w:rFonts w:ascii="Calibri" w:hAnsi="Calibri" w:cs="Calibri"/>
          <w:sz w:val="24"/>
          <w:szCs w:val="24"/>
          <w:vertAlign w:val="baseline"/>
        </w:rPr>
        <w:footnoteRef/>
      </w:r>
      <w:r w:rsidRPr="00345597">
        <w:rPr>
          <w:rFonts w:ascii="Calibri" w:hAnsi="Calibri" w:cs="Calibri"/>
          <w:sz w:val="24"/>
          <w:szCs w:val="24"/>
        </w:rPr>
        <w:t xml:space="preserve"> </w:t>
      </w:r>
      <w:r w:rsidR="00363928" w:rsidRPr="00345597">
        <w:rPr>
          <w:rFonts w:ascii="Calibri" w:hAnsi="Calibri" w:cs="Calibri"/>
          <w:sz w:val="24"/>
          <w:szCs w:val="24"/>
        </w:rPr>
        <w:tab/>
      </w:r>
      <w:r w:rsidRPr="00345597">
        <w:rPr>
          <w:rFonts w:ascii="Calibri" w:hAnsi="Calibri" w:cs="Calibri"/>
          <w:sz w:val="24"/>
          <w:szCs w:val="24"/>
        </w:rPr>
        <w:t>Treaty Series, vol. 2349, October 2003.</w:t>
      </w:r>
    </w:p>
  </w:footnote>
  <w:footnote w:id="8">
    <w:p w14:paraId="5E2C44AA" w14:textId="77777777" w:rsidR="00363928" w:rsidRPr="00345597" w:rsidRDefault="007B43D0" w:rsidP="007B43D0">
      <w:pPr>
        <w:pStyle w:val="FootnoteText"/>
        <w:jc w:val="both"/>
        <w:rPr>
          <w:rFonts w:ascii="Calibri" w:hAnsi="Calibri" w:cs="Calibri"/>
          <w:sz w:val="24"/>
          <w:szCs w:val="24"/>
        </w:rPr>
      </w:pPr>
      <w:r w:rsidRPr="00345597">
        <w:rPr>
          <w:rStyle w:val="FootnoteReference"/>
          <w:rFonts w:ascii="Calibri" w:hAnsi="Calibri" w:cs="Calibri"/>
          <w:sz w:val="24"/>
          <w:szCs w:val="24"/>
          <w:vertAlign w:val="baseline"/>
        </w:rPr>
        <w:footnoteRef/>
      </w:r>
      <w:r w:rsidRPr="00345597">
        <w:rPr>
          <w:rFonts w:ascii="Calibri" w:hAnsi="Calibri" w:cs="Calibri"/>
          <w:sz w:val="24"/>
          <w:szCs w:val="24"/>
        </w:rPr>
        <w:t xml:space="preserve"> </w:t>
      </w:r>
      <w:r w:rsidR="00363928" w:rsidRPr="00345597">
        <w:rPr>
          <w:rFonts w:ascii="Calibri" w:hAnsi="Calibri" w:cs="Calibri"/>
          <w:sz w:val="24"/>
          <w:szCs w:val="24"/>
        </w:rPr>
        <w:tab/>
      </w:r>
      <w:r w:rsidRPr="00345597">
        <w:rPr>
          <w:rFonts w:ascii="Calibri" w:hAnsi="Calibri" w:cs="Calibri"/>
          <w:sz w:val="24"/>
          <w:szCs w:val="24"/>
        </w:rPr>
        <w:t xml:space="preserve">Adopted by the 2nd Ordinary Session of the Assembly of the African Union, Maputo, </w:t>
      </w:r>
    </w:p>
    <w:p w14:paraId="3A88AA3E" w14:textId="29B9F658" w:rsidR="007B43D0" w:rsidRPr="00345597" w:rsidRDefault="007B43D0" w:rsidP="00363928">
      <w:pPr>
        <w:pStyle w:val="FootnoteText"/>
        <w:ind w:firstLine="720"/>
        <w:jc w:val="both"/>
        <w:rPr>
          <w:rFonts w:ascii="Calibri" w:hAnsi="Calibri" w:cs="Calibri"/>
          <w:sz w:val="24"/>
          <w:szCs w:val="24"/>
          <w:lang w:val="en-US"/>
        </w:rPr>
      </w:pPr>
      <w:r w:rsidRPr="00345597">
        <w:rPr>
          <w:rFonts w:ascii="Calibri" w:hAnsi="Calibri" w:cs="Calibri"/>
          <w:sz w:val="24"/>
          <w:szCs w:val="24"/>
        </w:rPr>
        <w:t>Mozambique.</w:t>
      </w:r>
    </w:p>
  </w:footnote>
  <w:footnote w:id="9">
    <w:p w14:paraId="16F30B8C" w14:textId="77777777" w:rsidR="00363928" w:rsidRPr="00345597" w:rsidRDefault="007B43D0" w:rsidP="007B43D0">
      <w:pPr>
        <w:pStyle w:val="FootnoteText"/>
        <w:jc w:val="both"/>
        <w:rPr>
          <w:rFonts w:ascii="Calibri" w:hAnsi="Calibri" w:cs="Calibri"/>
          <w:sz w:val="24"/>
          <w:szCs w:val="24"/>
          <w:lang w:val="en-US"/>
        </w:rPr>
      </w:pPr>
      <w:r w:rsidRPr="00345597">
        <w:rPr>
          <w:rStyle w:val="FootnoteReference"/>
          <w:rFonts w:ascii="Calibri" w:hAnsi="Calibri" w:cs="Calibri"/>
          <w:sz w:val="24"/>
          <w:szCs w:val="24"/>
          <w:vertAlign w:val="baseline"/>
        </w:rPr>
        <w:footnoteRef/>
      </w:r>
      <w:r w:rsidRPr="00345597">
        <w:rPr>
          <w:rFonts w:ascii="Calibri" w:hAnsi="Calibri" w:cs="Calibri"/>
          <w:sz w:val="24"/>
          <w:szCs w:val="24"/>
        </w:rPr>
        <w:t xml:space="preserve"> </w:t>
      </w:r>
      <w:r w:rsidR="00363928" w:rsidRPr="00345597">
        <w:rPr>
          <w:rFonts w:ascii="Calibri" w:hAnsi="Calibri" w:cs="Calibri"/>
          <w:sz w:val="24"/>
          <w:szCs w:val="24"/>
        </w:rPr>
        <w:tab/>
      </w:r>
      <w:r w:rsidRPr="00345597">
        <w:rPr>
          <w:rFonts w:ascii="Calibri" w:hAnsi="Calibri" w:cs="Calibri"/>
          <w:sz w:val="24"/>
          <w:szCs w:val="24"/>
          <w:lang w:val="en-US"/>
        </w:rPr>
        <w:t xml:space="preserve">Nigeria is a dualist state which implies international legal provisions do not </w:t>
      </w:r>
    </w:p>
    <w:p w14:paraId="230D8086" w14:textId="77777777" w:rsidR="00363928" w:rsidRPr="00345597" w:rsidRDefault="007B43D0" w:rsidP="00363928">
      <w:pPr>
        <w:pStyle w:val="FootnoteText"/>
        <w:ind w:firstLine="720"/>
        <w:jc w:val="both"/>
        <w:rPr>
          <w:rFonts w:ascii="Calibri" w:hAnsi="Calibri" w:cs="Calibri"/>
          <w:sz w:val="24"/>
          <w:szCs w:val="24"/>
          <w:lang w:val="en-US"/>
        </w:rPr>
      </w:pPr>
      <w:r w:rsidRPr="00345597">
        <w:rPr>
          <w:rFonts w:ascii="Calibri" w:hAnsi="Calibri" w:cs="Calibri"/>
          <w:sz w:val="24"/>
          <w:szCs w:val="24"/>
          <w:lang w:val="en-US"/>
        </w:rPr>
        <w:t xml:space="preserve">automatically become operational within its territory until it is legislatively </w:t>
      </w:r>
    </w:p>
    <w:p w14:paraId="27F7F20E" w14:textId="050EC7A4" w:rsidR="007B43D0" w:rsidRPr="00345597" w:rsidRDefault="007B43D0" w:rsidP="00363928">
      <w:pPr>
        <w:pStyle w:val="FootnoteText"/>
        <w:ind w:left="720"/>
        <w:jc w:val="both"/>
        <w:rPr>
          <w:rFonts w:ascii="Calibri" w:hAnsi="Calibri" w:cs="Calibri"/>
          <w:sz w:val="24"/>
          <w:szCs w:val="24"/>
          <w:lang w:val="en-US"/>
        </w:rPr>
      </w:pPr>
      <w:r w:rsidRPr="00345597">
        <w:rPr>
          <w:rFonts w:ascii="Calibri" w:hAnsi="Calibri" w:cs="Calibri"/>
          <w:sz w:val="24"/>
          <w:szCs w:val="24"/>
          <w:lang w:val="en-US"/>
        </w:rPr>
        <w:t xml:space="preserve">domesticated. Hence, by the provisions of sec. 12 of the Constitution of the Federal Republic of Nigeria 1999, Nigeria can validly implement the provisions of international legal instruments through an Act of the National Assembly.  </w:t>
      </w:r>
    </w:p>
  </w:footnote>
  <w:footnote w:id="10">
    <w:p w14:paraId="2554B66E" w14:textId="77777777" w:rsidR="00363928" w:rsidRPr="00345597" w:rsidRDefault="007B43D0" w:rsidP="007B43D0">
      <w:pPr>
        <w:pStyle w:val="FootnoteText"/>
        <w:jc w:val="both"/>
        <w:rPr>
          <w:rFonts w:ascii="Calibri" w:hAnsi="Calibri" w:cs="Calibri"/>
          <w:sz w:val="24"/>
          <w:szCs w:val="24"/>
          <w:lang w:val="en-US"/>
        </w:rPr>
      </w:pPr>
      <w:r w:rsidRPr="00345597">
        <w:rPr>
          <w:rStyle w:val="FootnoteReference"/>
          <w:rFonts w:ascii="Calibri" w:hAnsi="Calibri" w:cs="Calibri"/>
          <w:sz w:val="24"/>
          <w:szCs w:val="24"/>
          <w:vertAlign w:val="baseline"/>
        </w:rPr>
        <w:footnoteRef/>
      </w:r>
      <w:r w:rsidRPr="00345597">
        <w:rPr>
          <w:rFonts w:ascii="Calibri" w:hAnsi="Calibri" w:cs="Calibri"/>
          <w:sz w:val="24"/>
          <w:szCs w:val="24"/>
        </w:rPr>
        <w:t xml:space="preserve"> </w:t>
      </w:r>
      <w:r w:rsidR="00363928" w:rsidRPr="00345597">
        <w:rPr>
          <w:rFonts w:ascii="Calibri" w:hAnsi="Calibri" w:cs="Calibri"/>
          <w:sz w:val="24"/>
          <w:szCs w:val="24"/>
        </w:rPr>
        <w:tab/>
      </w:r>
      <w:r w:rsidRPr="00345597">
        <w:rPr>
          <w:rFonts w:ascii="Calibri" w:hAnsi="Calibri" w:cs="Calibri"/>
          <w:sz w:val="24"/>
          <w:szCs w:val="24"/>
        </w:rPr>
        <w:t xml:space="preserve">For instance, </w:t>
      </w:r>
      <w:r w:rsidRPr="00345597">
        <w:rPr>
          <w:rFonts w:ascii="Calibri" w:hAnsi="Calibri" w:cs="Calibri"/>
          <w:sz w:val="24"/>
          <w:szCs w:val="24"/>
          <w:lang w:val="en-US"/>
        </w:rPr>
        <w:t>articles 6 and 36 of UNCAC provide for the establishment of anti-</w:t>
      </w:r>
    </w:p>
    <w:p w14:paraId="6E0DBB48" w14:textId="5265C573" w:rsidR="007B43D0" w:rsidRPr="00345597" w:rsidRDefault="007B43D0" w:rsidP="00363928">
      <w:pPr>
        <w:pStyle w:val="FootnoteText"/>
        <w:ind w:firstLine="720"/>
        <w:jc w:val="both"/>
        <w:rPr>
          <w:rFonts w:ascii="Calibri" w:hAnsi="Calibri" w:cs="Calibri"/>
          <w:sz w:val="24"/>
          <w:szCs w:val="24"/>
          <w:lang w:val="en-US"/>
        </w:rPr>
      </w:pPr>
      <w:r w:rsidRPr="00345597">
        <w:rPr>
          <w:rFonts w:ascii="Calibri" w:hAnsi="Calibri" w:cs="Calibri"/>
          <w:sz w:val="24"/>
          <w:szCs w:val="24"/>
          <w:lang w:val="en-US"/>
        </w:rPr>
        <w:t>corruption agencies by state parties.</w:t>
      </w:r>
    </w:p>
  </w:footnote>
  <w:footnote w:id="11">
    <w:p w14:paraId="1FD69BD7" w14:textId="3DE751C8" w:rsidR="007B43D0" w:rsidRPr="00345597" w:rsidRDefault="007B43D0" w:rsidP="001E6DB4">
      <w:pPr>
        <w:pStyle w:val="FootnoteText"/>
        <w:ind w:left="709" w:hanging="709"/>
        <w:rPr>
          <w:rFonts w:ascii="Calibri" w:hAnsi="Calibri" w:cs="Calibri"/>
          <w:sz w:val="24"/>
          <w:szCs w:val="24"/>
          <w:lang w:val="en-US"/>
        </w:rPr>
      </w:pPr>
      <w:r w:rsidRPr="00345597">
        <w:rPr>
          <w:rStyle w:val="FootnoteReference"/>
          <w:rFonts w:ascii="Calibri" w:hAnsi="Calibri" w:cs="Calibri"/>
          <w:sz w:val="24"/>
          <w:szCs w:val="24"/>
          <w:vertAlign w:val="baseline"/>
        </w:rPr>
        <w:footnoteRef/>
      </w:r>
      <w:r w:rsidRPr="00345597">
        <w:rPr>
          <w:rFonts w:ascii="Calibri" w:hAnsi="Calibri" w:cs="Calibri"/>
          <w:sz w:val="24"/>
          <w:szCs w:val="24"/>
        </w:rPr>
        <w:t xml:space="preserve"> </w:t>
      </w:r>
      <w:r w:rsidR="00363928" w:rsidRPr="00345597">
        <w:rPr>
          <w:rFonts w:ascii="Calibri" w:hAnsi="Calibri" w:cs="Calibri"/>
          <w:sz w:val="24"/>
          <w:szCs w:val="24"/>
        </w:rPr>
        <w:tab/>
      </w:r>
      <w:r w:rsidRPr="00345597">
        <w:rPr>
          <w:rFonts w:ascii="Calibri" w:hAnsi="Calibri" w:cs="Calibri"/>
          <w:sz w:val="24"/>
          <w:szCs w:val="24"/>
          <w:lang w:val="en-US"/>
        </w:rPr>
        <w:t>UNODC, ‘UN Guide for anti-corruption policies’ (November, 2003) &lt;</w:t>
      </w:r>
      <w:hyperlink r:id="rId4" w:history="1">
        <w:r w:rsidRPr="00345597">
          <w:rPr>
            <w:rStyle w:val="Hyperlink"/>
            <w:rFonts w:ascii="Calibri" w:hAnsi="Calibri" w:cs="Calibri"/>
            <w:color w:val="auto"/>
            <w:sz w:val="24"/>
            <w:szCs w:val="24"/>
            <w:u w:val="none"/>
            <w:lang w:val="en-US"/>
          </w:rPr>
          <w:t>https://www.unodc.org/pdf/crime/corruption/UN_Guide.pdf</w:t>
        </w:r>
      </w:hyperlink>
      <w:r w:rsidRPr="00345597">
        <w:rPr>
          <w:rFonts w:ascii="Calibri" w:hAnsi="Calibri" w:cs="Calibri"/>
          <w:sz w:val="24"/>
          <w:szCs w:val="24"/>
          <w:lang w:val="en-US"/>
        </w:rPr>
        <w:t xml:space="preserve"> &gt; Accessed 13 August, 2024.</w:t>
      </w:r>
    </w:p>
  </w:footnote>
  <w:footnote w:id="12">
    <w:p w14:paraId="07254320" w14:textId="6E394BDB" w:rsidR="007B43D0" w:rsidRPr="00345597" w:rsidRDefault="007B43D0" w:rsidP="007B43D0">
      <w:pPr>
        <w:pStyle w:val="FootnoteText"/>
        <w:jc w:val="both"/>
        <w:rPr>
          <w:rFonts w:ascii="Calibri" w:hAnsi="Calibri" w:cs="Calibri"/>
          <w:sz w:val="24"/>
          <w:szCs w:val="24"/>
          <w:lang w:val="en-US"/>
        </w:rPr>
      </w:pPr>
      <w:r w:rsidRPr="00345597">
        <w:rPr>
          <w:rStyle w:val="FootnoteReference"/>
          <w:rFonts w:ascii="Calibri" w:hAnsi="Calibri" w:cs="Calibri"/>
          <w:sz w:val="24"/>
          <w:szCs w:val="24"/>
          <w:vertAlign w:val="baseline"/>
        </w:rPr>
        <w:footnoteRef/>
      </w:r>
      <w:r w:rsidRPr="00345597">
        <w:rPr>
          <w:rFonts w:ascii="Calibri" w:hAnsi="Calibri" w:cs="Calibri"/>
          <w:sz w:val="24"/>
          <w:szCs w:val="24"/>
        </w:rPr>
        <w:t xml:space="preserve"> </w:t>
      </w:r>
      <w:r w:rsidR="00363928" w:rsidRPr="00345597">
        <w:rPr>
          <w:rFonts w:ascii="Calibri" w:hAnsi="Calibri" w:cs="Calibri"/>
          <w:sz w:val="24"/>
          <w:szCs w:val="24"/>
        </w:rPr>
        <w:tab/>
      </w:r>
      <w:r w:rsidRPr="00345597">
        <w:rPr>
          <w:rFonts w:ascii="Calibri" w:hAnsi="Calibri" w:cs="Calibri"/>
          <w:sz w:val="24"/>
          <w:szCs w:val="24"/>
          <w:lang w:val="en-US"/>
        </w:rPr>
        <w:t>Article 6 of UNCAC.</w:t>
      </w:r>
    </w:p>
  </w:footnote>
  <w:footnote w:id="13">
    <w:p w14:paraId="3B8CE90F" w14:textId="27200779" w:rsidR="007B43D0" w:rsidRPr="00345597" w:rsidRDefault="007B43D0" w:rsidP="007B43D0">
      <w:pPr>
        <w:pStyle w:val="FootnoteText"/>
        <w:jc w:val="both"/>
        <w:rPr>
          <w:rFonts w:ascii="Calibri" w:hAnsi="Calibri" w:cs="Calibri"/>
          <w:sz w:val="24"/>
          <w:szCs w:val="24"/>
          <w:lang w:val="en-US"/>
        </w:rPr>
      </w:pPr>
      <w:r w:rsidRPr="00345597">
        <w:rPr>
          <w:rStyle w:val="FootnoteReference"/>
          <w:rFonts w:ascii="Calibri" w:hAnsi="Calibri" w:cs="Calibri"/>
          <w:sz w:val="24"/>
          <w:szCs w:val="24"/>
          <w:vertAlign w:val="baseline"/>
        </w:rPr>
        <w:footnoteRef/>
      </w:r>
      <w:r w:rsidRPr="00345597">
        <w:rPr>
          <w:rFonts w:ascii="Calibri" w:hAnsi="Calibri" w:cs="Calibri"/>
          <w:sz w:val="24"/>
          <w:szCs w:val="24"/>
        </w:rPr>
        <w:t xml:space="preserve"> </w:t>
      </w:r>
      <w:r w:rsidR="00363928" w:rsidRPr="00345597">
        <w:rPr>
          <w:rFonts w:ascii="Calibri" w:hAnsi="Calibri" w:cs="Calibri"/>
          <w:sz w:val="24"/>
          <w:szCs w:val="24"/>
        </w:rPr>
        <w:tab/>
      </w:r>
      <w:r w:rsidRPr="00345597">
        <w:rPr>
          <w:rFonts w:ascii="Calibri" w:hAnsi="Calibri" w:cs="Calibri"/>
          <w:sz w:val="24"/>
          <w:szCs w:val="24"/>
        </w:rPr>
        <w:t xml:space="preserve">Articles 6 (2) and 36 of UNCAC. </w:t>
      </w:r>
    </w:p>
  </w:footnote>
  <w:footnote w:id="14">
    <w:p w14:paraId="70EE7827" w14:textId="77777777" w:rsidR="00363928" w:rsidRPr="00345597" w:rsidRDefault="007B43D0" w:rsidP="007B43D0">
      <w:pPr>
        <w:pStyle w:val="FootnoteText"/>
        <w:jc w:val="both"/>
        <w:rPr>
          <w:rFonts w:ascii="Calibri" w:hAnsi="Calibri" w:cs="Calibri"/>
          <w:sz w:val="24"/>
          <w:szCs w:val="24"/>
        </w:rPr>
      </w:pPr>
      <w:r w:rsidRPr="00345597">
        <w:rPr>
          <w:rStyle w:val="FootnoteReference"/>
          <w:rFonts w:ascii="Calibri" w:hAnsi="Calibri" w:cs="Calibri"/>
          <w:sz w:val="24"/>
          <w:szCs w:val="24"/>
          <w:vertAlign w:val="baseline"/>
        </w:rPr>
        <w:footnoteRef/>
      </w:r>
      <w:r w:rsidRPr="00345597">
        <w:rPr>
          <w:rFonts w:ascii="Calibri" w:hAnsi="Calibri" w:cs="Calibri"/>
          <w:sz w:val="24"/>
          <w:szCs w:val="24"/>
        </w:rPr>
        <w:t xml:space="preserve"> </w:t>
      </w:r>
      <w:r w:rsidR="00363928" w:rsidRPr="00345597">
        <w:rPr>
          <w:rFonts w:ascii="Calibri" w:hAnsi="Calibri" w:cs="Calibri"/>
          <w:sz w:val="24"/>
          <w:szCs w:val="24"/>
        </w:rPr>
        <w:tab/>
      </w:r>
      <w:r w:rsidRPr="00345597">
        <w:rPr>
          <w:rFonts w:ascii="Calibri" w:hAnsi="Calibri" w:cs="Calibri"/>
          <w:sz w:val="24"/>
          <w:szCs w:val="24"/>
        </w:rPr>
        <w:t xml:space="preserve">Although there was one Corrupt Practices Investigation Bureau which was established </w:t>
      </w:r>
    </w:p>
    <w:p w14:paraId="7EFD1C80" w14:textId="77777777" w:rsidR="00363928" w:rsidRPr="00345597" w:rsidRDefault="007B43D0" w:rsidP="00363928">
      <w:pPr>
        <w:pStyle w:val="FootnoteText"/>
        <w:ind w:firstLine="720"/>
        <w:jc w:val="both"/>
        <w:rPr>
          <w:rFonts w:ascii="Calibri" w:hAnsi="Calibri" w:cs="Calibri"/>
          <w:sz w:val="24"/>
          <w:szCs w:val="24"/>
        </w:rPr>
      </w:pPr>
      <w:r w:rsidRPr="00345597">
        <w:rPr>
          <w:rFonts w:ascii="Calibri" w:hAnsi="Calibri" w:cs="Calibri"/>
          <w:sz w:val="24"/>
          <w:szCs w:val="24"/>
        </w:rPr>
        <w:t xml:space="preserve">in 1975 during the </w:t>
      </w:r>
      <w:proofErr w:type="spellStart"/>
      <w:r w:rsidRPr="00345597">
        <w:rPr>
          <w:rFonts w:ascii="Calibri" w:hAnsi="Calibri" w:cs="Calibri"/>
          <w:sz w:val="24"/>
          <w:szCs w:val="24"/>
        </w:rPr>
        <w:t>Muritala</w:t>
      </w:r>
      <w:proofErr w:type="spellEnd"/>
      <w:r w:rsidRPr="00345597">
        <w:rPr>
          <w:rFonts w:ascii="Calibri" w:hAnsi="Calibri" w:cs="Calibri"/>
          <w:sz w:val="24"/>
          <w:szCs w:val="24"/>
        </w:rPr>
        <w:t xml:space="preserve"> Muhammed military regime which criminalised bribery </w:t>
      </w:r>
    </w:p>
    <w:p w14:paraId="27D5B466" w14:textId="07847159" w:rsidR="007B43D0" w:rsidRPr="00345597" w:rsidRDefault="007B43D0" w:rsidP="00363928">
      <w:pPr>
        <w:pStyle w:val="FootnoteText"/>
        <w:ind w:left="720"/>
        <w:jc w:val="both"/>
        <w:rPr>
          <w:rFonts w:ascii="Calibri" w:hAnsi="Calibri" w:cs="Calibri"/>
          <w:sz w:val="24"/>
          <w:szCs w:val="24"/>
          <w:lang w:val="en-US"/>
        </w:rPr>
      </w:pPr>
      <w:r w:rsidRPr="00345597">
        <w:rPr>
          <w:rFonts w:ascii="Calibri" w:hAnsi="Calibri" w:cs="Calibri"/>
          <w:sz w:val="24"/>
          <w:szCs w:val="24"/>
        </w:rPr>
        <w:t xml:space="preserve">and receiving gratification with corrupt intent, the body had limited operations and did not outlive the regime. Abel A. Emiko. “A Reflection on the Nigerian Corrupt Practices Decree” </w:t>
      </w:r>
      <w:r w:rsidRPr="00345597">
        <w:rPr>
          <w:rFonts w:ascii="Calibri" w:hAnsi="Calibri" w:cs="Calibri"/>
          <w:i/>
          <w:iCs/>
          <w:sz w:val="24"/>
          <w:szCs w:val="24"/>
        </w:rPr>
        <w:t>Journal of the Indian Law Institute</w:t>
      </w:r>
      <w:r w:rsidRPr="00345597">
        <w:rPr>
          <w:rFonts w:ascii="Calibri" w:hAnsi="Calibri" w:cs="Calibri"/>
          <w:sz w:val="24"/>
          <w:szCs w:val="24"/>
        </w:rPr>
        <w:t>, (1977) 19 (1), 17–43.</w:t>
      </w:r>
    </w:p>
  </w:footnote>
  <w:footnote w:id="15">
    <w:p w14:paraId="063AF4CC" w14:textId="77777777" w:rsidR="00363928" w:rsidRPr="00345597" w:rsidRDefault="007B43D0" w:rsidP="007B43D0">
      <w:pPr>
        <w:pStyle w:val="FootnoteText"/>
        <w:jc w:val="both"/>
        <w:rPr>
          <w:rFonts w:ascii="Calibri" w:hAnsi="Calibri" w:cs="Calibri"/>
          <w:sz w:val="24"/>
          <w:szCs w:val="24"/>
        </w:rPr>
      </w:pPr>
      <w:r w:rsidRPr="00345597">
        <w:rPr>
          <w:rStyle w:val="FootnoteReference"/>
          <w:rFonts w:ascii="Calibri" w:hAnsi="Calibri" w:cs="Calibri"/>
          <w:sz w:val="24"/>
          <w:szCs w:val="24"/>
          <w:vertAlign w:val="baseline"/>
        </w:rPr>
        <w:footnoteRef/>
      </w:r>
      <w:r w:rsidRPr="00345597">
        <w:rPr>
          <w:rFonts w:ascii="Calibri" w:hAnsi="Calibri" w:cs="Calibri"/>
          <w:sz w:val="24"/>
          <w:szCs w:val="24"/>
        </w:rPr>
        <w:t xml:space="preserve"> </w:t>
      </w:r>
      <w:r w:rsidR="00363928" w:rsidRPr="00345597">
        <w:rPr>
          <w:rFonts w:ascii="Calibri" w:hAnsi="Calibri" w:cs="Calibri"/>
          <w:sz w:val="24"/>
          <w:szCs w:val="24"/>
        </w:rPr>
        <w:tab/>
      </w:r>
      <w:r w:rsidRPr="00345597">
        <w:rPr>
          <w:rFonts w:ascii="Calibri" w:hAnsi="Calibri" w:cs="Calibri"/>
          <w:sz w:val="24"/>
          <w:szCs w:val="24"/>
        </w:rPr>
        <w:t xml:space="preserve">Terry Andrews </w:t>
      </w:r>
      <w:proofErr w:type="spellStart"/>
      <w:r w:rsidRPr="00345597">
        <w:rPr>
          <w:rFonts w:ascii="Calibri" w:hAnsi="Calibri" w:cs="Calibri"/>
          <w:sz w:val="24"/>
          <w:szCs w:val="24"/>
        </w:rPr>
        <w:t>Odisu</w:t>
      </w:r>
      <w:proofErr w:type="spellEnd"/>
      <w:r w:rsidRPr="00345597">
        <w:rPr>
          <w:rFonts w:ascii="Calibri" w:hAnsi="Calibri" w:cs="Calibri"/>
          <w:sz w:val="24"/>
          <w:szCs w:val="24"/>
        </w:rPr>
        <w:t xml:space="preserve">. “Corruption and insecurity in Nigeria: A comparative analysis of </w:t>
      </w:r>
    </w:p>
    <w:p w14:paraId="5F1093EF" w14:textId="77777777" w:rsidR="00363928" w:rsidRPr="00345597" w:rsidRDefault="007B43D0" w:rsidP="00363928">
      <w:pPr>
        <w:pStyle w:val="FootnoteText"/>
        <w:ind w:firstLine="720"/>
        <w:jc w:val="both"/>
        <w:rPr>
          <w:rFonts w:ascii="Calibri" w:hAnsi="Calibri" w:cs="Calibri"/>
          <w:sz w:val="24"/>
          <w:szCs w:val="24"/>
        </w:rPr>
      </w:pPr>
      <w:r w:rsidRPr="00345597">
        <w:rPr>
          <w:rFonts w:ascii="Calibri" w:hAnsi="Calibri" w:cs="Calibri"/>
          <w:sz w:val="24"/>
          <w:szCs w:val="24"/>
        </w:rPr>
        <w:t>civilian and military regimes.” </w:t>
      </w:r>
      <w:r w:rsidRPr="00345597">
        <w:rPr>
          <w:rFonts w:ascii="Calibri" w:hAnsi="Calibri" w:cs="Calibri"/>
          <w:i/>
          <w:iCs/>
          <w:sz w:val="24"/>
          <w:szCs w:val="24"/>
        </w:rPr>
        <w:t>Basic Journal of Social and Political Science</w:t>
      </w:r>
      <w:r w:rsidRPr="00345597">
        <w:rPr>
          <w:rFonts w:ascii="Calibri" w:hAnsi="Calibri" w:cs="Calibri"/>
          <w:sz w:val="24"/>
          <w:szCs w:val="24"/>
        </w:rPr>
        <w:t xml:space="preserve">, (2015) 3 (1), </w:t>
      </w:r>
    </w:p>
    <w:p w14:paraId="4C767FA0" w14:textId="1ECDFA85" w:rsidR="007B43D0" w:rsidRPr="00345597" w:rsidRDefault="007B43D0" w:rsidP="00363928">
      <w:pPr>
        <w:pStyle w:val="FootnoteText"/>
        <w:ind w:left="720"/>
        <w:jc w:val="both"/>
        <w:rPr>
          <w:rFonts w:ascii="Calibri" w:hAnsi="Calibri" w:cs="Calibri"/>
          <w:sz w:val="24"/>
          <w:szCs w:val="24"/>
          <w:lang w:val="en-US"/>
        </w:rPr>
      </w:pPr>
      <w:r w:rsidRPr="00345597">
        <w:rPr>
          <w:rFonts w:ascii="Calibri" w:hAnsi="Calibri" w:cs="Calibri"/>
          <w:sz w:val="24"/>
          <w:szCs w:val="24"/>
        </w:rPr>
        <w:t xml:space="preserve">8-15. </w:t>
      </w:r>
      <w:proofErr w:type="spellStart"/>
      <w:r w:rsidRPr="00345597">
        <w:rPr>
          <w:rFonts w:ascii="Calibri" w:hAnsi="Calibri" w:cs="Calibri"/>
          <w:sz w:val="24"/>
          <w:szCs w:val="24"/>
        </w:rPr>
        <w:t>Ejovi</w:t>
      </w:r>
      <w:proofErr w:type="spellEnd"/>
      <w:r w:rsidRPr="00345597">
        <w:rPr>
          <w:rFonts w:ascii="Calibri" w:hAnsi="Calibri" w:cs="Calibri"/>
          <w:sz w:val="24"/>
          <w:szCs w:val="24"/>
        </w:rPr>
        <w:t xml:space="preserve"> </w:t>
      </w:r>
      <w:proofErr w:type="spellStart"/>
      <w:r w:rsidRPr="00345597">
        <w:rPr>
          <w:rFonts w:ascii="Calibri" w:hAnsi="Calibri" w:cs="Calibri"/>
          <w:sz w:val="24"/>
          <w:szCs w:val="24"/>
        </w:rPr>
        <w:t>Austine</w:t>
      </w:r>
      <w:proofErr w:type="spellEnd"/>
      <w:r w:rsidRPr="00345597">
        <w:rPr>
          <w:rFonts w:ascii="Calibri" w:hAnsi="Calibri" w:cs="Calibri"/>
          <w:sz w:val="24"/>
          <w:szCs w:val="24"/>
        </w:rPr>
        <w:t xml:space="preserve">, </w:t>
      </w:r>
      <w:proofErr w:type="spellStart"/>
      <w:r w:rsidRPr="00345597">
        <w:rPr>
          <w:rFonts w:ascii="Calibri" w:hAnsi="Calibri" w:cs="Calibri"/>
          <w:sz w:val="24"/>
          <w:szCs w:val="24"/>
        </w:rPr>
        <w:t>Mgbonyebi</w:t>
      </w:r>
      <w:proofErr w:type="spellEnd"/>
      <w:r w:rsidRPr="00345597">
        <w:rPr>
          <w:rFonts w:ascii="Calibri" w:hAnsi="Calibri" w:cs="Calibri"/>
          <w:sz w:val="24"/>
          <w:szCs w:val="24"/>
        </w:rPr>
        <w:t xml:space="preserve"> </w:t>
      </w:r>
      <w:proofErr w:type="spellStart"/>
      <w:r w:rsidRPr="00345597">
        <w:rPr>
          <w:rFonts w:ascii="Calibri" w:hAnsi="Calibri" w:cs="Calibri"/>
          <w:sz w:val="24"/>
          <w:szCs w:val="24"/>
        </w:rPr>
        <w:t>Voke</w:t>
      </w:r>
      <w:proofErr w:type="spellEnd"/>
      <w:r w:rsidRPr="00345597">
        <w:rPr>
          <w:rFonts w:ascii="Calibri" w:hAnsi="Calibri" w:cs="Calibri"/>
          <w:sz w:val="24"/>
          <w:szCs w:val="24"/>
        </w:rPr>
        <w:t xml:space="preserve"> Charles, and </w:t>
      </w:r>
      <w:proofErr w:type="spellStart"/>
      <w:r w:rsidRPr="00345597">
        <w:rPr>
          <w:rFonts w:ascii="Calibri" w:hAnsi="Calibri" w:cs="Calibri"/>
          <w:sz w:val="24"/>
          <w:szCs w:val="24"/>
        </w:rPr>
        <w:t>Akpokighe</w:t>
      </w:r>
      <w:proofErr w:type="spellEnd"/>
      <w:r w:rsidRPr="00345597">
        <w:rPr>
          <w:rFonts w:ascii="Calibri" w:hAnsi="Calibri" w:cs="Calibri"/>
          <w:sz w:val="24"/>
          <w:szCs w:val="24"/>
        </w:rPr>
        <w:t xml:space="preserve"> </w:t>
      </w:r>
      <w:proofErr w:type="spellStart"/>
      <w:r w:rsidRPr="00345597">
        <w:rPr>
          <w:rFonts w:ascii="Calibri" w:hAnsi="Calibri" w:cs="Calibri"/>
          <w:sz w:val="24"/>
          <w:szCs w:val="24"/>
        </w:rPr>
        <w:t>Okiemute</w:t>
      </w:r>
      <w:proofErr w:type="spellEnd"/>
      <w:r w:rsidRPr="00345597">
        <w:rPr>
          <w:rFonts w:ascii="Calibri" w:hAnsi="Calibri" w:cs="Calibri"/>
          <w:sz w:val="24"/>
          <w:szCs w:val="24"/>
        </w:rPr>
        <w:t xml:space="preserve"> Raymond. “Corruption in Nigeria: A historical perspective.” </w:t>
      </w:r>
      <w:r w:rsidRPr="00345597">
        <w:rPr>
          <w:rFonts w:ascii="Calibri" w:hAnsi="Calibri" w:cs="Calibri"/>
          <w:i/>
          <w:iCs/>
          <w:sz w:val="24"/>
          <w:szCs w:val="24"/>
        </w:rPr>
        <w:t>Research on Humanities and Social Sciences</w:t>
      </w:r>
      <w:r w:rsidRPr="00345597">
        <w:rPr>
          <w:rFonts w:ascii="Calibri" w:hAnsi="Calibri" w:cs="Calibri"/>
          <w:sz w:val="24"/>
          <w:szCs w:val="24"/>
        </w:rPr>
        <w:t>, (2013) 3 (16), 19-26.</w:t>
      </w:r>
    </w:p>
  </w:footnote>
  <w:footnote w:id="16">
    <w:p w14:paraId="07297D8E" w14:textId="77777777" w:rsidR="00363928" w:rsidRPr="00345597" w:rsidRDefault="007B43D0" w:rsidP="007B43D0">
      <w:pPr>
        <w:pStyle w:val="FootnoteText"/>
        <w:jc w:val="both"/>
        <w:rPr>
          <w:rFonts w:ascii="Calibri" w:hAnsi="Calibri" w:cs="Calibri"/>
          <w:sz w:val="24"/>
          <w:szCs w:val="24"/>
        </w:rPr>
      </w:pPr>
      <w:r w:rsidRPr="00345597">
        <w:rPr>
          <w:rStyle w:val="FootnoteReference"/>
          <w:rFonts w:ascii="Calibri" w:hAnsi="Calibri" w:cs="Calibri"/>
          <w:sz w:val="24"/>
          <w:szCs w:val="24"/>
          <w:vertAlign w:val="baseline"/>
        </w:rPr>
        <w:footnoteRef/>
      </w:r>
      <w:r w:rsidRPr="00345597">
        <w:rPr>
          <w:rFonts w:ascii="Calibri" w:hAnsi="Calibri" w:cs="Calibri"/>
          <w:sz w:val="24"/>
          <w:szCs w:val="24"/>
        </w:rPr>
        <w:t xml:space="preserve"> </w:t>
      </w:r>
      <w:r w:rsidR="00363928" w:rsidRPr="00345597">
        <w:rPr>
          <w:rFonts w:ascii="Calibri" w:hAnsi="Calibri" w:cs="Calibri"/>
          <w:sz w:val="24"/>
          <w:szCs w:val="24"/>
        </w:rPr>
        <w:tab/>
      </w:r>
      <w:r w:rsidRPr="00345597">
        <w:rPr>
          <w:rFonts w:ascii="Calibri" w:hAnsi="Calibri" w:cs="Calibri"/>
          <w:sz w:val="24"/>
          <w:szCs w:val="24"/>
        </w:rPr>
        <w:t xml:space="preserve">Ugochukwu </w:t>
      </w:r>
      <w:proofErr w:type="spellStart"/>
      <w:r w:rsidRPr="00345597">
        <w:rPr>
          <w:rFonts w:ascii="Calibri" w:hAnsi="Calibri" w:cs="Calibri"/>
          <w:sz w:val="24"/>
          <w:szCs w:val="24"/>
        </w:rPr>
        <w:t>Ezeh</w:t>
      </w:r>
      <w:proofErr w:type="spellEnd"/>
      <w:r w:rsidRPr="00345597">
        <w:rPr>
          <w:rFonts w:ascii="Calibri" w:hAnsi="Calibri" w:cs="Calibri"/>
          <w:sz w:val="24"/>
          <w:szCs w:val="24"/>
        </w:rPr>
        <w:t xml:space="preserve">. “‘Our enemies are swindlers’!: Conceptualising anti-corruption </w:t>
      </w:r>
    </w:p>
    <w:p w14:paraId="06F85ACE" w14:textId="77777777" w:rsidR="00363928" w:rsidRPr="00345597" w:rsidRDefault="007B43D0" w:rsidP="00363928">
      <w:pPr>
        <w:pStyle w:val="FootnoteText"/>
        <w:ind w:firstLine="720"/>
        <w:jc w:val="both"/>
        <w:rPr>
          <w:rFonts w:ascii="Calibri" w:hAnsi="Calibri" w:cs="Calibri"/>
          <w:i/>
          <w:iCs/>
          <w:sz w:val="24"/>
          <w:szCs w:val="24"/>
        </w:rPr>
      </w:pPr>
      <w:r w:rsidRPr="00345597">
        <w:rPr>
          <w:rFonts w:ascii="Calibri" w:hAnsi="Calibri" w:cs="Calibri"/>
          <w:sz w:val="24"/>
          <w:szCs w:val="24"/>
        </w:rPr>
        <w:t>legalism as a securitising device.” </w:t>
      </w:r>
      <w:proofErr w:type="spellStart"/>
      <w:r w:rsidRPr="00345597">
        <w:rPr>
          <w:rFonts w:ascii="Calibri" w:hAnsi="Calibri" w:cs="Calibri"/>
          <w:i/>
          <w:iCs/>
          <w:sz w:val="24"/>
          <w:szCs w:val="24"/>
        </w:rPr>
        <w:t>Verfassung</w:t>
      </w:r>
      <w:proofErr w:type="spellEnd"/>
      <w:r w:rsidRPr="00345597">
        <w:rPr>
          <w:rFonts w:ascii="Calibri" w:hAnsi="Calibri" w:cs="Calibri"/>
          <w:i/>
          <w:iCs/>
          <w:sz w:val="24"/>
          <w:szCs w:val="24"/>
        </w:rPr>
        <w:t xml:space="preserve"> und </w:t>
      </w:r>
      <w:proofErr w:type="spellStart"/>
      <w:r w:rsidRPr="00345597">
        <w:rPr>
          <w:rFonts w:ascii="Calibri" w:hAnsi="Calibri" w:cs="Calibri"/>
          <w:i/>
          <w:iCs/>
          <w:sz w:val="24"/>
          <w:szCs w:val="24"/>
        </w:rPr>
        <w:t>Recht</w:t>
      </w:r>
      <w:proofErr w:type="spellEnd"/>
      <w:r w:rsidRPr="00345597">
        <w:rPr>
          <w:rFonts w:ascii="Calibri" w:hAnsi="Calibri" w:cs="Calibri"/>
          <w:i/>
          <w:iCs/>
          <w:sz w:val="24"/>
          <w:szCs w:val="24"/>
        </w:rPr>
        <w:t xml:space="preserve"> in </w:t>
      </w:r>
      <w:proofErr w:type="spellStart"/>
      <w:r w:rsidRPr="00345597">
        <w:rPr>
          <w:rFonts w:ascii="Calibri" w:hAnsi="Calibri" w:cs="Calibri"/>
          <w:i/>
          <w:iCs/>
          <w:sz w:val="24"/>
          <w:szCs w:val="24"/>
        </w:rPr>
        <w:t>Übersee</w:t>
      </w:r>
      <w:proofErr w:type="spellEnd"/>
      <w:r w:rsidRPr="00345597">
        <w:rPr>
          <w:rFonts w:ascii="Calibri" w:hAnsi="Calibri" w:cs="Calibri"/>
          <w:i/>
          <w:iCs/>
          <w:sz w:val="24"/>
          <w:szCs w:val="24"/>
        </w:rPr>
        <w:t xml:space="preserve">/Law and Politics in </w:t>
      </w:r>
    </w:p>
    <w:p w14:paraId="790AFD68" w14:textId="5DC26DBA" w:rsidR="007B43D0" w:rsidRPr="00345597" w:rsidRDefault="007B43D0" w:rsidP="00363928">
      <w:pPr>
        <w:pStyle w:val="FootnoteText"/>
        <w:ind w:firstLine="720"/>
        <w:jc w:val="both"/>
        <w:rPr>
          <w:rFonts w:ascii="Calibri" w:hAnsi="Calibri" w:cs="Calibri"/>
          <w:sz w:val="24"/>
          <w:szCs w:val="24"/>
          <w:lang w:val="en-US"/>
        </w:rPr>
      </w:pPr>
      <w:r w:rsidRPr="00345597">
        <w:rPr>
          <w:rFonts w:ascii="Calibri" w:hAnsi="Calibri" w:cs="Calibri"/>
          <w:i/>
          <w:iCs/>
          <w:sz w:val="24"/>
          <w:szCs w:val="24"/>
        </w:rPr>
        <w:t>Africa, Asia and Latin America</w:t>
      </w:r>
      <w:r w:rsidRPr="00345597">
        <w:rPr>
          <w:rFonts w:ascii="Calibri" w:hAnsi="Calibri" w:cs="Calibri"/>
          <w:sz w:val="24"/>
          <w:szCs w:val="24"/>
        </w:rPr>
        <w:t>, (2021) 54 (2), 219-242.</w:t>
      </w:r>
    </w:p>
  </w:footnote>
  <w:footnote w:id="17">
    <w:p w14:paraId="4356F65D" w14:textId="77777777" w:rsidR="00363928" w:rsidRPr="00345597" w:rsidRDefault="007B43D0" w:rsidP="007B43D0">
      <w:pPr>
        <w:pStyle w:val="FootnoteText"/>
        <w:jc w:val="both"/>
        <w:rPr>
          <w:rFonts w:ascii="Calibri" w:hAnsi="Calibri" w:cs="Calibri"/>
          <w:sz w:val="24"/>
          <w:szCs w:val="24"/>
        </w:rPr>
      </w:pPr>
      <w:r w:rsidRPr="00345597">
        <w:rPr>
          <w:rStyle w:val="FootnoteReference"/>
          <w:rFonts w:ascii="Calibri" w:hAnsi="Calibri" w:cs="Calibri"/>
          <w:sz w:val="24"/>
          <w:szCs w:val="24"/>
          <w:vertAlign w:val="baseline"/>
        </w:rPr>
        <w:footnoteRef/>
      </w:r>
      <w:r w:rsidRPr="00345597">
        <w:rPr>
          <w:rFonts w:ascii="Calibri" w:hAnsi="Calibri" w:cs="Calibri"/>
          <w:sz w:val="24"/>
          <w:szCs w:val="24"/>
        </w:rPr>
        <w:t xml:space="preserve"> </w:t>
      </w:r>
      <w:r w:rsidR="00363928" w:rsidRPr="00345597">
        <w:rPr>
          <w:rFonts w:ascii="Calibri" w:hAnsi="Calibri" w:cs="Calibri"/>
          <w:sz w:val="24"/>
          <w:szCs w:val="24"/>
        </w:rPr>
        <w:tab/>
      </w:r>
      <w:r w:rsidRPr="00345597">
        <w:rPr>
          <w:rFonts w:ascii="Calibri" w:hAnsi="Calibri" w:cs="Calibri"/>
          <w:sz w:val="24"/>
          <w:szCs w:val="24"/>
        </w:rPr>
        <w:t xml:space="preserve">The United Nations Convention Against Corruption 2003 (UNCAC) and regional </w:t>
      </w:r>
    </w:p>
    <w:p w14:paraId="089B4DD2" w14:textId="77777777" w:rsidR="00363928" w:rsidRPr="00345597" w:rsidRDefault="007B43D0" w:rsidP="00363928">
      <w:pPr>
        <w:pStyle w:val="FootnoteText"/>
        <w:ind w:firstLine="720"/>
        <w:jc w:val="both"/>
        <w:rPr>
          <w:rFonts w:ascii="Calibri" w:hAnsi="Calibri" w:cs="Calibri"/>
          <w:sz w:val="24"/>
          <w:szCs w:val="24"/>
          <w:lang w:val="en-US"/>
        </w:rPr>
      </w:pPr>
      <w:r w:rsidRPr="00345597">
        <w:rPr>
          <w:rFonts w:ascii="Calibri" w:hAnsi="Calibri" w:cs="Calibri"/>
          <w:sz w:val="24"/>
          <w:szCs w:val="24"/>
        </w:rPr>
        <w:t>treaties such as the</w:t>
      </w:r>
      <w:r w:rsidRPr="00345597">
        <w:rPr>
          <w:rFonts w:ascii="Calibri" w:hAnsi="Calibri" w:cs="Calibri"/>
          <w:sz w:val="24"/>
          <w:szCs w:val="24"/>
          <w:lang w:val="en-US"/>
        </w:rPr>
        <w:t xml:space="preserve"> African Union made similar provisions via the African Union </w:t>
      </w:r>
    </w:p>
    <w:p w14:paraId="35A86848" w14:textId="7A361A49" w:rsidR="007B43D0" w:rsidRPr="00345597" w:rsidRDefault="007B43D0" w:rsidP="00363928">
      <w:pPr>
        <w:pStyle w:val="FootnoteText"/>
        <w:ind w:left="720"/>
        <w:jc w:val="both"/>
        <w:rPr>
          <w:rFonts w:ascii="Calibri" w:hAnsi="Calibri" w:cs="Calibri"/>
          <w:sz w:val="24"/>
          <w:szCs w:val="24"/>
          <w:lang w:val="en-US"/>
        </w:rPr>
      </w:pPr>
      <w:r w:rsidRPr="00345597">
        <w:rPr>
          <w:rFonts w:ascii="Calibri" w:hAnsi="Calibri" w:cs="Calibri"/>
          <w:sz w:val="24"/>
          <w:szCs w:val="24"/>
          <w:lang w:val="en-US"/>
        </w:rPr>
        <w:t xml:space="preserve">Convention on Preventing and Combating and Corruption were adopted during this period. </w:t>
      </w:r>
    </w:p>
  </w:footnote>
  <w:footnote w:id="18">
    <w:p w14:paraId="58A648A4" w14:textId="77777777" w:rsidR="00363928" w:rsidRPr="00345597" w:rsidRDefault="007B43D0" w:rsidP="007B43D0">
      <w:pPr>
        <w:pStyle w:val="FootnoteText"/>
        <w:jc w:val="both"/>
        <w:rPr>
          <w:rFonts w:ascii="Calibri" w:hAnsi="Calibri" w:cs="Calibri"/>
          <w:sz w:val="24"/>
          <w:szCs w:val="24"/>
        </w:rPr>
      </w:pPr>
      <w:r w:rsidRPr="00345597">
        <w:rPr>
          <w:rStyle w:val="FootnoteReference"/>
          <w:rFonts w:ascii="Calibri" w:hAnsi="Calibri" w:cs="Calibri"/>
          <w:sz w:val="24"/>
          <w:szCs w:val="24"/>
          <w:vertAlign w:val="baseline"/>
        </w:rPr>
        <w:footnoteRef/>
      </w:r>
      <w:r w:rsidRPr="00345597">
        <w:rPr>
          <w:rFonts w:ascii="Calibri" w:hAnsi="Calibri" w:cs="Calibri"/>
          <w:sz w:val="24"/>
          <w:szCs w:val="24"/>
        </w:rPr>
        <w:t xml:space="preserve"> </w:t>
      </w:r>
      <w:r w:rsidR="00363928" w:rsidRPr="00345597">
        <w:rPr>
          <w:rFonts w:ascii="Calibri" w:hAnsi="Calibri" w:cs="Calibri"/>
          <w:sz w:val="24"/>
          <w:szCs w:val="24"/>
        </w:rPr>
        <w:tab/>
      </w:r>
      <w:r w:rsidRPr="00345597">
        <w:rPr>
          <w:rFonts w:ascii="Calibri" w:hAnsi="Calibri" w:cs="Calibri"/>
          <w:sz w:val="24"/>
          <w:szCs w:val="24"/>
        </w:rPr>
        <w:t xml:space="preserve">The establishment of the principal ACAs does not prejudice provisions of other laws </w:t>
      </w:r>
    </w:p>
    <w:p w14:paraId="1D014B61" w14:textId="77777777" w:rsidR="00363928" w:rsidRPr="00345597" w:rsidRDefault="007B43D0" w:rsidP="00363928">
      <w:pPr>
        <w:pStyle w:val="FootnoteText"/>
        <w:ind w:firstLine="720"/>
        <w:jc w:val="both"/>
        <w:rPr>
          <w:rFonts w:ascii="Calibri" w:hAnsi="Calibri" w:cs="Calibri"/>
          <w:sz w:val="24"/>
          <w:szCs w:val="24"/>
        </w:rPr>
      </w:pPr>
      <w:r w:rsidRPr="00345597">
        <w:rPr>
          <w:rFonts w:ascii="Calibri" w:hAnsi="Calibri" w:cs="Calibri"/>
          <w:sz w:val="24"/>
          <w:szCs w:val="24"/>
        </w:rPr>
        <w:t xml:space="preserve">which empower traditional law enforcement agencies and prosecutorial authorities </w:t>
      </w:r>
    </w:p>
    <w:p w14:paraId="18B56268" w14:textId="7E3D9EC8" w:rsidR="007B43D0" w:rsidRPr="00345597" w:rsidRDefault="007B43D0" w:rsidP="00363928">
      <w:pPr>
        <w:pStyle w:val="FootnoteText"/>
        <w:ind w:firstLine="720"/>
        <w:jc w:val="both"/>
        <w:rPr>
          <w:rFonts w:ascii="Calibri" w:hAnsi="Calibri" w:cs="Calibri"/>
          <w:sz w:val="24"/>
          <w:szCs w:val="24"/>
        </w:rPr>
      </w:pPr>
      <w:r w:rsidRPr="00345597">
        <w:rPr>
          <w:rFonts w:ascii="Calibri" w:hAnsi="Calibri" w:cs="Calibri"/>
          <w:sz w:val="24"/>
          <w:szCs w:val="24"/>
        </w:rPr>
        <w:t>to investigate and prosecute corruption crimes within certain spheres.</w:t>
      </w:r>
    </w:p>
  </w:footnote>
  <w:footnote w:id="19">
    <w:p w14:paraId="0D68EB12" w14:textId="77777777" w:rsidR="00363928" w:rsidRPr="00345597" w:rsidRDefault="007B43D0" w:rsidP="007B43D0">
      <w:pPr>
        <w:jc w:val="both"/>
        <w:rPr>
          <w:rFonts w:ascii="Calibri" w:hAnsi="Calibri" w:cs="Calibri"/>
        </w:rPr>
      </w:pPr>
      <w:r w:rsidRPr="00345597">
        <w:rPr>
          <w:rStyle w:val="FootnoteReference"/>
          <w:rFonts w:ascii="Calibri" w:hAnsi="Calibri" w:cs="Calibri"/>
          <w:vertAlign w:val="baseline"/>
        </w:rPr>
        <w:footnoteRef/>
      </w:r>
      <w:r w:rsidRPr="00345597">
        <w:rPr>
          <w:rFonts w:ascii="Calibri" w:hAnsi="Calibri" w:cs="Calibri"/>
        </w:rPr>
        <w:t xml:space="preserve"> </w:t>
      </w:r>
      <w:r w:rsidR="00363928" w:rsidRPr="00345597">
        <w:rPr>
          <w:rFonts w:ascii="Calibri" w:hAnsi="Calibri" w:cs="Calibri"/>
        </w:rPr>
        <w:tab/>
      </w:r>
      <w:r w:rsidRPr="00345597">
        <w:rPr>
          <w:rFonts w:ascii="Calibri" w:hAnsi="Calibri" w:cs="Calibri"/>
        </w:rPr>
        <w:t xml:space="preserve">Contrary to the interpretation by some authors, ICPC’s mandate is not limited to public </w:t>
      </w:r>
    </w:p>
    <w:p w14:paraId="018CF7DE" w14:textId="3193C7E8" w:rsidR="007B43D0" w:rsidRPr="00345597" w:rsidRDefault="007B43D0" w:rsidP="00363928">
      <w:pPr>
        <w:ind w:firstLine="720"/>
        <w:jc w:val="both"/>
        <w:rPr>
          <w:rFonts w:ascii="Calibri" w:hAnsi="Calibri" w:cs="Calibri"/>
        </w:rPr>
      </w:pPr>
      <w:r w:rsidRPr="00345597">
        <w:rPr>
          <w:rFonts w:ascii="Calibri" w:hAnsi="Calibri" w:cs="Calibri"/>
        </w:rPr>
        <w:t>corruption or acts of corruption involving public officers.</w:t>
      </w:r>
    </w:p>
  </w:footnote>
  <w:footnote w:id="20">
    <w:p w14:paraId="180DA916" w14:textId="0D0ED893" w:rsidR="007B43D0" w:rsidRPr="00345597" w:rsidRDefault="007B43D0" w:rsidP="007B43D0">
      <w:pPr>
        <w:pStyle w:val="FootnoteText"/>
        <w:jc w:val="both"/>
        <w:rPr>
          <w:rFonts w:ascii="Calibri" w:hAnsi="Calibri" w:cs="Calibri"/>
          <w:sz w:val="24"/>
          <w:szCs w:val="24"/>
        </w:rPr>
      </w:pPr>
      <w:r w:rsidRPr="00345597">
        <w:rPr>
          <w:rStyle w:val="FootnoteReference"/>
          <w:rFonts w:ascii="Calibri" w:hAnsi="Calibri" w:cs="Calibri"/>
          <w:sz w:val="24"/>
          <w:szCs w:val="24"/>
          <w:vertAlign w:val="baseline"/>
        </w:rPr>
        <w:footnoteRef/>
      </w:r>
      <w:r w:rsidRPr="00345597">
        <w:rPr>
          <w:rFonts w:ascii="Calibri" w:hAnsi="Calibri" w:cs="Calibri"/>
          <w:sz w:val="24"/>
          <w:szCs w:val="24"/>
        </w:rPr>
        <w:t xml:space="preserve"> </w:t>
      </w:r>
      <w:r w:rsidR="00363928" w:rsidRPr="00345597">
        <w:rPr>
          <w:rFonts w:ascii="Calibri" w:hAnsi="Calibri" w:cs="Calibri"/>
          <w:sz w:val="24"/>
          <w:szCs w:val="24"/>
        </w:rPr>
        <w:tab/>
      </w:r>
      <w:r w:rsidRPr="00345597">
        <w:rPr>
          <w:rFonts w:ascii="Calibri" w:hAnsi="Calibri" w:cs="Calibri"/>
          <w:sz w:val="24"/>
          <w:szCs w:val="24"/>
        </w:rPr>
        <w:t>Secs. 6, 27 and 61 of the ICPC Act.</w:t>
      </w:r>
    </w:p>
  </w:footnote>
  <w:footnote w:id="21">
    <w:p w14:paraId="107BF99B" w14:textId="77777777" w:rsidR="00363928" w:rsidRPr="00345597" w:rsidRDefault="007B43D0" w:rsidP="007B43D0">
      <w:pPr>
        <w:pStyle w:val="FootnoteText"/>
        <w:jc w:val="both"/>
        <w:rPr>
          <w:rFonts w:ascii="Calibri" w:hAnsi="Calibri" w:cs="Calibri"/>
          <w:sz w:val="24"/>
          <w:szCs w:val="24"/>
        </w:rPr>
      </w:pPr>
      <w:r w:rsidRPr="00345597">
        <w:rPr>
          <w:rStyle w:val="FootnoteReference"/>
          <w:rFonts w:ascii="Calibri" w:hAnsi="Calibri" w:cs="Calibri"/>
          <w:sz w:val="24"/>
          <w:szCs w:val="24"/>
          <w:vertAlign w:val="baseline"/>
        </w:rPr>
        <w:footnoteRef/>
      </w:r>
      <w:r w:rsidRPr="00345597">
        <w:rPr>
          <w:rFonts w:ascii="Calibri" w:hAnsi="Calibri" w:cs="Calibri"/>
          <w:sz w:val="24"/>
          <w:szCs w:val="24"/>
        </w:rPr>
        <w:t xml:space="preserve"> </w:t>
      </w:r>
      <w:r w:rsidR="00363928" w:rsidRPr="00345597">
        <w:rPr>
          <w:rFonts w:ascii="Calibri" w:hAnsi="Calibri" w:cs="Calibri"/>
          <w:sz w:val="24"/>
          <w:szCs w:val="24"/>
        </w:rPr>
        <w:tab/>
      </w:r>
      <w:r w:rsidRPr="00345597">
        <w:rPr>
          <w:rFonts w:ascii="Calibri" w:hAnsi="Calibri" w:cs="Calibri"/>
          <w:sz w:val="24"/>
          <w:szCs w:val="24"/>
        </w:rPr>
        <w:t xml:space="preserve">The Anti-corruption and Transparency Unit (ACTU) was created in 2001 in all </w:t>
      </w:r>
    </w:p>
    <w:p w14:paraId="09B4602A" w14:textId="77777777" w:rsidR="00363928" w:rsidRPr="00345597" w:rsidRDefault="007B43D0" w:rsidP="00363928">
      <w:pPr>
        <w:pStyle w:val="FootnoteText"/>
        <w:ind w:firstLine="720"/>
        <w:jc w:val="both"/>
        <w:rPr>
          <w:rFonts w:ascii="Calibri" w:hAnsi="Calibri" w:cs="Calibri"/>
          <w:sz w:val="24"/>
          <w:szCs w:val="24"/>
        </w:rPr>
      </w:pPr>
      <w:r w:rsidRPr="00345597">
        <w:rPr>
          <w:rFonts w:ascii="Calibri" w:hAnsi="Calibri" w:cs="Calibri"/>
          <w:sz w:val="24"/>
          <w:szCs w:val="24"/>
        </w:rPr>
        <w:t xml:space="preserve">government ministries as an extension of the ICPC in line with the provision of sec. 6 </w:t>
      </w:r>
    </w:p>
    <w:p w14:paraId="2B3A2FDE" w14:textId="77777777" w:rsidR="00363928" w:rsidRPr="00345597" w:rsidRDefault="007B43D0" w:rsidP="00363928">
      <w:pPr>
        <w:pStyle w:val="FootnoteText"/>
        <w:ind w:firstLine="720"/>
        <w:jc w:val="both"/>
        <w:rPr>
          <w:rFonts w:ascii="Calibri" w:hAnsi="Calibri" w:cs="Calibri"/>
          <w:sz w:val="24"/>
          <w:szCs w:val="24"/>
        </w:rPr>
      </w:pPr>
      <w:r w:rsidRPr="00345597">
        <w:rPr>
          <w:rFonts w:ascii="Calibri" w:hAnsi="Calibri" w:cs="Calibri"/>
          <w:sz w:val="24"/>
          <w:szCs w:val="24"/>
        </w:rPr>
        <w:t xml:space="preserve">of the ICPC Act, to help in monitoring, reporting and preventing corruptions in the </w:t>
      </w:r>
    </w:p>
    <w:p w14:paraId="5F1C75A0" w14:textId="67D9D7D7" w:rsidR="007B43D0" w:rsidRPr="00345597" w:rsidRDefault="007B43D0" w:rsidP="00363928">
      <w:pPr>
        <w:pStyle w:val="FootnoteText"/>
        <w:ind w:firstLine="720"/>
        <w:jc w:val="both"/>
        <w:rPr>
          <w:rFonts w:ascii="Calibri" w:hAnsi="Calibri" w:cs="Calibri"/>
          <w:sz w:val="24"/>
          <w:szCs w:val="24"/>
        </w:rPr>
      </w:pPr>
      <w:r w:rsidRPr="00345597">
        <w:rPr>
          <w:rFonts w:ascii="Calibri" w:hAnsi="Calibri" w:cs="Calibri"/>
          <w:sz w:val="24"/>
          <w:szCs w:val="24"/>
        </w:rPr>
        <w:t>respective agencies.</w:t>
      </w:r>
    </w:p>
  </w:footnote>
  <w:footnote w:id="22">
    <w:p w14:paraId="0583643D" w14:textId="77777777" w:rsidR="00363928" w:rsidRPr="00345597" w:rsidRDefault="007B43D0" w:rsidP="007B43D0">
      <w:pPr>
        <w:pStyle w:val="FootnoteText"/>
        <w:jc w:val="both"/>
        <w:rPr>
          <w:rFonts w:ascii="Calibri" w:hAnsi="Calibri" w:cs="Calibri"/>
          <w:sz w:val="24"/>
          <w:szCs w:val="24"/>
        </w:rPr>
      </w:pPr>
      <w:r w:rsidRPr="00345597">
        <w:rPr>
          <w:rStyle w:val="FootnoteReference"/>
          <w:rFonts w:ascii="Calibri" w:hAnsi="Calibri" w:cs="Calibri"/>
          <w:sz w:val="24"/>
          <w:szCs w:val="24"/>
          <w:vertAlign w:val="baseline"/>
        </w:rPr>
        <w:footnoteRef/>
      </w:r>
      <w:r w:rsidRPr="00345597">
        <w:rPr>
          <w:rFonts w:ascii="Calibri" w:hAnsi="Calibri" w:cs="Calibri"/>
          <w:sz w:val="24"/>
          <w:szCs w:val="24"/>
        </w:rPr>
        <w:t xml:space="preserve"> </w:t>
      </w:r>
      <w:r w:rsidR="00363928" w:rsidRPr="00345597">
        <w:rPr>
          <w:rFonts w:ascii="Calibri" w:hAnsi="Calibri" w:cs="Calibri"/>
          <w:sz w:val="24"/>
          <w:szCs w:val="24"/>
        </w:rPr>
        <w:tab/>
      </w:r>
      <w:r w:rsidRPr="00345597">
        <w:rPr>
          <w:rFonts w:ascii="Calibri" w:hAnsi="Calibri" w:cs="Calibri"/>
          <w:sz w:val="24"/>
          <w:szCs w:val="24"/>
        </w:rPr>
        <w:t xml:space="preserve">ICPC reports that 300 anti-corruption clubs were inaugurated in schools across the </w:t>
      </w:r>
    </w:p>
    <w:p w14:paraId="21497A66" w14:textId="77777777" w:rsidR="00363928" w:rsidRPr="00345597" w:rsidRDefault="007B43D0" w:rsidP="00363928">
      <w:pPr>
        <w:pStyle w:val="FootnoteText"/>
        <w:ind w:firstLine="720"/>
        <w:jc w:val="both"/>
        <w:rPr>
          <w:rFonts w:ascii="Calibri" w:hAnsi="Calibri" w:cs="Calibri"/>
          <w:sz w:val="24"/>
          <w:szCs w:val="24"/>
        </w:rPr>
      </w:pPr>
      <w:r w:rsidRPr="00345597">
        <w:rPr>
          <w:rFonts w:ascii="Calibri" w:hAnsi="Calibri" w:cs="Calibri"/>
          <w:sz w:val="24"/>
          <w:szCs w:val="24"/>
        </w:rPr>
        <w:t xml:space="preserve">federation at the outset of the Commission’s work in 2003. UNODC: Nigeria, ‘Thematic </w:t>
      </w:r>
    </w:p>
    <w:p w14:paraId="61D96F26" w14:textId="1CA92DA9" w:rsidR="007B43D0" w:rsidRPr="00345597" w:rsidRDefault="007B43D0" w:rsidP="00363928">
      <w:pPr>
        <w:pStyle w:val="FootnoteText"/>
        <w:ind w:left="720"/>
        <w:jc w:val="both"/>
        <w:rPr>
          <w:rFonts w:ascii="Calibri" w:hAnsi="Calibri" w:cs="Calibri"/>
          <w:sz w:val="24"/>
          <w:szCs w:val="24"/>
        </w:rPr>
      </w:pPr>
      <w:r w:rsidRPr="00345597">
        <w:rPr>
          <w:rFonts w:ascii="Calibri" w:hAnsi="Calibri" w:cs="Calibri"/>
          <w:sz w:val="24"/>
          <w:szCs w:val="24"/>
        </w:rPr>
        <w:t>Compilation of Relevant Information Submitted by Nigeria in Relation to Article 6 of UNCAC’ 8 April, 2013. 3. &lt;</w:t>
      </w:r>
      <w:hyperlink r:id="rId5" w:history="1">
        <w:r w:rsidRPr="00345597">
          <w:rPr>
            <w:rStyle w:val="Hyperlink"/>
            <w:rFonts w:ascii="Calibri" w:hAnsi="Calibri" w:cs="Calibri"/>
            <w:color w:val="auto"/>
            <w:sz w:val="24"/>
            <w:szCs w:val="24"/>
            <w:u w:val="none"/>
          </w:rPr>
          <w:t>https://www.unodc.org/documents/corruption/WG-Prevention/Art_6_Preventive_anti-corruption_bodies/Nigeria.pdf</w:t>
        </w:r>
      </w:hyperlink>
      <w:r w:rsidRPr="00345597">
        <w:rPr>
          <w:rFonts w:ascii="Calibri" w:hAnsi="Calibri" w:cs="Calibri"/>
          <w:sz w:val="24"/>
          <w:szCs w:val="24"/>
        </w:rPr>
        <w:t>&gt; Accessed 12 June, 2024.</w:t>
      </w:r>
    </w:p>
  </w:footnote>
  <w:footnote w:id="23">
    <w:p w14:paraId="6D89FC3D" w14:textId="1AE951E8" w:rsidR="007B43D0" w:rsidRPr="00345597" w:rsidRDefault="007B43D0" w:rsidP="007B43D0">
      <w:pPr>
        <w:pStyle w:val="FootnoteText"/>
        <w:jc w:val="both"/>
        <w:rPr>
          <w:rFonts w:ascii="Calibri" w:hAnsi="Calibri" w:cs="Calibri"/>
          <w:sz w:val="24"/>
          <w:szCs w:val="24"/>
        </w:rPr>
      </w:pPr>
      <w:r w:rsidRPr="00345597">
        <w:rPr>
          <w:rStyle w:val="FootnoteReference"/>
          <w:rFonts w:ascii="Calibri" w:hAnsi="Calibri" w:cs="Calibri"/>
          <w:sz w:val="24"/>
          <w:szCs w:val="24"/>
          <w:vertAlign w:val="baseline"/>
        </w:rPr>
        <w:footnoteRef/>
      </w:r>
      <w:r w:rsidRPr="00345597">
        <w:rPr>
          <w:rFonts w:ascii="Calibri" w:hAnsi="Calibri" w:cs="Calibri"/>
          <w:sz w:val="24"/>
          <w:szCs w:val="24"/>
        </w:rPr>
        <w:t xml:space="preserve"> </w:t>
      </w:r>
      <w:r w:rsidR="00363928" w:rsidRPr="00345597">
        <w:rPr>
          <w:rFonts w:ascii="Calibri" w:hAnsi="Calibri" w:cs="Calibri"/>
          <w:sz w:val="24"/>
          <w:szCs w:val="24"/>
        </w:rPr>
        <w:tab/>
      </w:r>
      <w:r w:rsidRPr="00345597">
        <w:rPr>
          <w:rFonts w:ascii="Calibri" w:hAnsi="Calibri" w:cs="Calibri"/>
          <w:sz w:val="24"/>
          <w:szCs w:val="24"/>
        </w:rPr>
        <w:t>The earlier 2002 Act was repealed by the 2004 Act.</w:t>
      </w:r>
    </w:p>
  </w:footnote>
  <w:footnote w:id="24">
    <w:p w14:paraId="619E9E87" w14:textId="03F7E343" w:rsidR="007B43D0" w:rsidRPr="00345597" w:rsidRDefault="007B43D0" w:rsidP="007B43D0">
      <w:pPr>
        <w:pStyle w:val="FootnoteText"/>
        <w:jc w:val="both"/>
        <w:rPr>
          <w:rFonts w:ascii="Calibri" w:hAnsi="Calibri" w:cs="Calibri"/>
          <w:sz w:val="24"/>
          <w:szCs w:val="24"/>
        </w:rPr>
      </w:pPr>
      <w:r w:rsidRPr="00345597">
        <w:rPr>
          <w:rStyle w:val="FootnoteReference"/>
          <w:rFonts w:ascii="Calibri" w:hAnsi="Calibri" w:cs="Calibri"/>
          <w:sz w:val="24"/>
          <w:szCs w:val="24"/>
          <w:vertAlign w:val="baseline"/>
        </w:rPr>
        <w:footnoteRef/>
      </w:r>
      <w:r w:rsidRPr="00345597">
        <w:rPr>
          <w:rFonts w:ascii="Calibri" w:hAnsi="Calibri" w:cs="Calibri"/>
          <w:sz w:val="24"/>
          <w:szCs w:val="24"/>
        </w:rPr>
        <w:t xml:space="preserve"> </w:t>
      </w:r>
      <w:r w:rsidR="00363928" w:rsidRPr="00345597">
        <w:rPr>
          <w:rFonts w:ascii="Calibri" w:hAnsi="Calibri" w:cs="Calibri"/>
          <w:sz w:val="24"/>
          <w:szCs w:val="24"/>
        </w:rPr>
        <w:tab/>
      </w:r>
      <w:r w:rsidRPr="00345597">
        <w:rPr>
          <w:rFonts w:ascii="Calibri" w:hAnsi="Calibri" w:cs="Calibri"/>
          <w:sz w:val="24"/>
          <w:szCs w:val="24"/>
        </w:rPr>
        <w:t>Sec. 6 of the EFCC Act, 2004.</w:t>
      </w:r>
    </w:p>
  </w:footnote>
  <w:footnote w:id="25">
    <w:p w14:paraId="1D349050" w14:textId="77FB9DEE" w:rsidR="007B43D0" w:rsidRPr="00345597" w:rsidRDefault="007B43D0" w:rsidP="007B43D0">
      <w:pPr>
        <w:pStyle w:val="FootnoteText"/>
        <w:jc w:val="both"/>
        <w:rPr>
          <w:rFonts w:ascii="Calibri" w:hAnsi="Calibri" w:cs="Calibri"/>
          <w:sz w:val="24"/>
          <w:szCs w:val="24"/>
        </w:rPr>
      </w:pPr>
      <w:r w:rsidRPr="00345597">
        <w:rPr>
          <w:rStyle w:val="FootnoteReference"/>
          <w:rFonts w:ascii="Calibri" w:hAnsi="Calibri" w:cs="Calibri"/>
          <w:sz w:val="24"/>
          <w:szCs w:val="24"/>
          <w:vertAlign w:val="baseline"/>
        </w:rPr>
        <w:footnoteRef/>
      </w:r>
      <w:r w:rsidRPr="00345597">
        <w:rPr>
          <w:rFonts w:ascii="Calibri" w:hAnsi="Calibri" w:cs="Calibri"/>
          <w:sz w:val="24"/>
          <w:szCs w:val="24"/>
        </w:rPr>
        <w:t xml:space="preserve"> </w:t>
      </w:r>
      <w:r w:rsidR="00363928" w:rsidRPr="00345597">
        <w:rPr>
          <w:rFonts w:ascii="Calibri" w:hAnsi="Calibri" w:cs="Calibri"/>
          <w:sz w:val="24"/>
          <w:szCs w:val="24"/>
        </w:rPr>
        <w:tab/>
      </w:r>
      <w:r w:rsidRPr="00345597">
        <w:rPr>
          <w:rFonts w:ascii="Calibri" w:hAnsi="Calibri" w:cs="Calibri"/>
          <w:sz w:val="24"/>
          <w:szCs w:val="24"/>
        </w:rPr>
        <w:t>Secs. 6</w:t>
      </w:r>
      <w:r w:rsidR="005E0268">
        <w:rPr>
          <w:rFonts w:ascii="Calibri" w:hAnsi="Calibri" w:cs="Calibri"/>
          <w:sz w:val="24"/>
          <w:szCs w:val="24"/>
        </w:rPr>
        <w:t xml:space="preserve"> </w:t>
      </w:r>
      <w:r w:rsidRPr="00345597">
        <w:rPr>
          <w:rFonts w:ascii="Calibri" w:hAnsi="Calibri" w:cs="Calibri"/>
          <w:sz w:val="24"/>
          <w:szCs w:val="24"/>
        </w:rPr>
        <w:t>(a) and 7 (2)</w:t>
      </w:r>
      <w:r w:rsidR="005E0268">
        <w:rPr>
          <w:rFonts w:ascii="Calibri" w:hAnsi="Calibri" w:cs="Calibri"/>
          <w:sz w:val="24"/>
          <w:szCs w:val="24"/>
        </w:rPr>
        <w:t xml:space="preserve"> of the EFCC Act.</w:t>
      </w:r>
    </w:p>
  </w:footnote>
  <w:footnote w:id="26">
    <w:p w14:paraId="04911CCA" w14:textId="5F96BC70" w:rsidR="007B43D0" w:rsidRPr="00345597" w:rsidRDefault="007B43D0" w:rsidP="007B43D0">
      <w:pPr>
        <w:pStyle w:val="FootnoteText"/>
        <w:jc w:val="both"/>
        <w:rPr>
          <w:rFonts w:ascii="Calibri" w:hAnsi="Calibri" w:cs="Calibri"/>
          <w:sz w:val="24"/>
          <w:szCs w:val="24"/>
        </w:rPr>
      </w:pPr>
      <w:r w:rsidRPr="00345597">
        <w:rPr>
          <w:rStyle w:val="FootnoteReference"/>
          <w:rFonts w:ascii="Calibri" w:hAnsi="Calibri" w:cs="Calibri"/>
          <w:sz w:val="24"/>
          <w:szCs w:val="24"/>
          <w:vertAlign w:val="baseline"/>
        </w:rPr>
        <w:footnoteRef/>
      </w:r>
      <w:r w:rsidRPr="00345597">
        <w:rPr>
          <w:rFonts w:ascii="Calibri" w:hAnsi="Calibri" w:cs="Calibri"/>
          <w:sz w:val="24"/>
          <w:szCs w:val="24"/>
        </w:rPr>
        <w:t xml:space="preserve"> </w:t>
      </w:r>
      <w:r w:rsidR="00363928" w:rsidRPr="00345597">
        <w:rPr>
          <w:rFonts w:ascii="Calibri" w:hAnsi="Calibri" w:cs="Calibri"/>
          <w:sz w:val="24"/>
          <w:szCs w:val="24"/>
        </w:rPr>
        <w:tab/>
      </w:r>
      <w:r w:rsidRPr="00345597">
        <w:rPr>
          <w:rFonts w:ascii="Calibri" w:hAnsi="Calibri" w:cs="Calibri"/>
          <w:sz w:val="24"/>
          <w:szCs w:val="24"/>
        </w:rPr>
        <w:t>Sec. 6 (n)</w:t>
      </w:r>
      <w:r w:rsidR="005E0268">
        <w:rPr>
          <w:rFonts w:ascii="Calibri" w:hAnsi="Calibri" w:cs="Calibri"/>
          <w:sz w:val="24"/>
          <w:szCs w:val="24"/>
        </w:rPr>
        <w:t xml:space="preserve"> of the EFCC Act.</w:t>
      </w:r>
    </w:p>
  </w:footnote>
  <w:footnote w:id="27">
    <w:p w14:paraId="2BB7FA8E" w14:textId="77777777" w:rsidR="00363928" w:rsidRPr="00345597" w:rsidRDefault="007B43D0" w:rsidP="007B43D0">
      <w:pPr>
        <w:pStyle w:val="FootnoteText"/>
        <w:jc w:val="both"/>
        <w:rPr>
          <w:rFonts w:ascii="Calibri" w:hAnsi="Calibri" w:cs="Calibri"/>
          <w:sz w:val="24"/>
          <w:szCs w:val="24"/>
        </w:rPr>
      </w:pPr>
      <w:r w:rsidRPr="00345597">
        <w:rPr>
          <w:rStyle w:val="FootnoteReference"/>
          <w:rFonts w:ascii="Calibri" w:hAnsi="Calibri" w:cs="Calibri"/>
          <w:sz w:val="24"/>
          <w:szCs w:val="24"/>
          <w:vertAlign w:val="baseline"/>
        </w:rPr>
        <w:footnoteRef/>
      </w:r>
      <w:r w:rsidRPr="00345597">
        <w:rPr>
          <w:rFonts w:ascii="Calibri" w:hAnsi="Calibri" w:cs="Calibri"/>
          <w:sz w:val="24"/>
          <w:szCs w:val="24"/>
        </w:rPr>
        <w:t xml:space="preserve"> </w:t>
      </w:r>
      <w:r w:rsidR="00363928" w:rsidRPr="00345597">
        <w:rPr>
          <w:rFonts w:ascii="Calibri" w:hAnsi="Calibri" w:cs="Calibri"/>
          <w:sz w:val="24"/>
          <w:szCs w:val="24"/>
        </w:rPr>
        <w:tab/>
      </w:r>
      <w:r w:rsidRPr="00345597">
        <w:rPr>
          <w:rFonts w:ascii="Calibri" w:hAnsi="Calibri" w:cs="Calibri"/>
          <w:sz w:val="24"/>
          <w:szCs w:val="24"/>
        </w:rPr>
        <w:t xml:space="preserve">Given the wide mandate and powers of the EFCC, there are few areas of overlap of </w:t>
      </w:r>
    </w:p>
    <w:p w14:paraId="30EAB6C0" w14:textId="77777777" w:rsidR="00363928" w:rsidRPr="00345597" w:rsidRDefault="007B43D0" w:rsidP="00363928">
      <w:pPr>
        <w:pStyle w:val="FootnoteText"/>
        <w:ind w:firstLine="720"/>
        <w:jc w:val="both"/>
        <w:rPr>
          <w:rFonts w:ascii="Calibri" w:hAnsi="Calibri" w:cs="Calibri"/>
          <w:sz w:val="24"/>
          <w:szCs w:val="24"/>
        </w:rPr>
      </w:pPr>
      <w:r w:rsidRPr="00345597">
        <w:rPr>
          <w:rFonts w:ascii="Calibri" w:hAnsi="Calibri" w:cs="Calibri"/>
          <w:sz w:val="24"/>
          <w:szCs w:val="24"/>
        </w:rPr>
        <w:t xml:space="preserve">powers of the two principal agencies which grants the EFCC same powers as the ICPC </w:t>
      </w:r>
    </w:p>
    <w:p w14:paraId="4E0A2F0C" w14:textId="4C13DBF9" w:rsidR="007B43D0" w:rsidRPr="00345597" w:rsidRDefault="007B43D0" w:rsidP="00363928">
      <w:pPr>
        <w:pStyle w:val="FootnoteText"/>
        <w:ind w:firstLine="720"/>
        <w:jc w:val="both"/>
        <w:rPr>
          <w:rFonts w:ascii="Calibri" w:hAnsi="Calibri" w:cs="Calibri"/>
          <w:sz w:val="24"/>
          <w:szCs w:val="24"/>
        </w:rPr>
      </w:pPr>
      <w:r w:rsidRPr="00345597">
        <w:rPr>
          <w:rFonts w:ascii="Calibri" w:hAnsi="Calibri" w:cs="Calibri"/>
          <w:sz w:val="24"/>
          <w:szCs w:val="24"/>
        </w:rPr>
        <w:t xml:space="preserve">and </w:t>
      </w:r>
      <w:r w:rsidRPr="00345597">
        <w:rPr>
          <w:rFonts w:ascii="Calibri" w:hAnsi="Calibri" w:cs="Calibri"/>
          <w:i/>
          <w:sz w:val="24"/>
          <w:szCs w:val="24"/>
        </w:rPr>
        <w:t>vice versa</w:t>
      </w:r>
      <w:r w:rsidRPr="00345597">
        <w:rPr>
          <w:rFonts w:ascii="Calibri" w:hAnsi="Calibri" w:cs="Calibri"/>
          <w:sz w:val="24"/>
          <w:szCs w:val="24"/>
        </w:rPr>
        <w:t xml:space="preserve">. </w:t>
      </w:r>
    </w:p>
  </w:footnote>
  <w:footnote w:id="28">
    <w:p w14:paraId="05079332" w14:textId="77777777" w:rsidR="00363928" w:rsidRPr="00345597" w:rsidRDefault="007B43D0" w:rsidP="007B43D0">
      <w:pPr>
        <w:pStyle w:val="FootnoteText"/>
        <w:jc w:val="both"/>
        <w:rPr>
          <w:rFonts w:ascii="Calibri" w:hAnsi="Calibri" w:cs="Calibri"/>
          <w:sz w:val="24"/>
          <w:szCs w:val="24"/>
          <w:lang w:val="en-US"/>
        </w:rPr>
      </w:pPr>
      <w:r w:rsidRPr="00345597">
        <w:rPr>
          <w:rStyle w:val="FootnoteReference"/>
          <w:rFonts w:ascii="Calibri" w:hAnsi="Calibri" w:cs="Calibri"/>
          <w:sz w:val="24"/>
          <w:szCs w:val="24"/>
          <w:vertAlign w:val="baseline"/>
        </w:rPr>
        <w:footnoteRef/>
      </w:r>
      <w:r w:rsidRPr="00345597">
        <w:rPr>
          <w:rFonts w:ascii="Calibri" w:hAnsi="Calibri" w:cs="Calibri"/>
          <w:sz w:val="24"/>
          <w:szCs w:val="24"/>
        </w:rPr>
        <w:t xml:space="preserve"> </w:t>
      </w:r>
      <w:r w:rsidR="00363928" w:rsidRPr="00345597">
        <w:rPr>
          <w:rFonts w:ascii="Calibri" w:hAnsi="Calibri" w:cs="Calibri"/>
          <w:sz w:val="24"/>
          <w:szCs w:val="24"/>
        </w:rPr>
        <w:tab/>
      </w:r>
      <w:r w:rsidRPr="00345597">
        <w:rPr>
          <w:rFonts w:ascii="Calibri" w:hAnsi="Calibri" w:cs="Calibri"/>
          <w:sz w:val="24"/>
          <w:szCs w:val="24"/>
        </w:rPr>
        <w:t xml:space="preserve">ACE Working Paper 038 </w:t>
      </w:r>
      <w:r w:rsidRPr="00345597">
        <w:rPr>
          <w:rFonts w:ascii="Calibri" w:hAnsi="Calibri" w:cs="Calibri"/>
          <w:sz w:val="24"/>
          <w:szCs w:val="24"/>
          <w:lang w:val="en-US"/>
        </w:rPr>
        <w:t xml:space="preserve">The EFCC and ICPC in Nigeria: Overlapping Mandates and </w:t>
      </w:r>
    </w:p>
    <w:p w14:paraId="26D06D8C" w14:textId="77777777" w:rsidR="00363928" w:rsidRPr="00345597" w:rsidRDefault="007B43D0" w:rsidP="00363928">
      <w:pPr>
        <w:pStyle w:val="FootnoteText"/>
        <w:ind w:firstLine="720"/>
        <w:jc w:val="both"/>
        <w:rPr>
          <w:rFonts w:ascii="Calibri" w:hAnsi="Calibri" w:cs="Calibri"/>
          <w:sz w:val="24"/>
          <w:szCs w:val="24"/>
          <w:lang w:val="en-US"/>
        </w:rPr>
      </w:pPr>
      <w:r w:rsidRPr="00345597">
        <w:rPr>
          <w:rFonts w:ascii="Calibri" w:hAnsi="Calibri" w:cs="Calibri"/>
          <w:sz w:val="24"/>
          <w:szCs w:val="24"/>
          <w:lang w:val="en-US"/>
        </w:rPr>
        <w:t xml:space="preserve">Duplication of efforts in the fight Against Corruption November, 2021. Centre for </w:t>
      </w:r>
    </w:p>
    <w:p w14:paraId="264ADD42" w14:textId="77777777" w:rsidR="00363928" w:rsidRPr="00345597" w:rsidRDefault="007B43D0" w:rsidP="00363928">
      <w:pPr>
        <w:pStyle w:val="FootnoteText"/>
        <w:ind w:firstLine="720"/>
        <w:jc w:val="both"/>
        <w:rPr>
          <w:rFonts w:ascii="Calibri" w:hAnsi="Calibri" w:cs="Calibri"/>
          <w:sz w:val="24"/>
          <w:szCs w:val="24"/>
          <w:lang w:val="en-US"/>
        </w:rPr>
      </w:pPr>
      <w:r w:rsidRPr="00345597">
        <w:rPr>
          <w:rFonts w:ascii="Calibri" w:hAnsi="Calibri" w:cs="Calibri"/>
          <w:sz w:val="24"/>
          <w:szCs w:val="24"/>
          <w:lang w:val="en-US"/>
        </w:rPr>
        <w:t xml:space="preserve">Democracy and Development Twenty Years of Anti-Corruption Efforts in Nigeria: A </w:t>
      </w:r>
    </w:p>
    <w:p w14:paraId="77BBCC01" w14:textId="25075B6B" w:rsidR="007B43D0" w:rsidRPr="00345597" w:rsidRDefault="007B43D0" w:rsidP="00363928">
      <w:pPr>
        <w:pStyle w:val="FootnoteText"/>
        <w:ind w:firstLine="720"/>
        <w:jc w:val="both"/>
        <w:rPr>
          <w:rFonts w:ascii="Calibri" w:hAnsi="Calibri" w:cs="Calibri"/>
          <w:sz w:val="24"/>
          <w:szCs w:val="24"/>
          <w:lang w:val="en-US"/>
        </w:rPr>
      </w:pPr>
      <w:r w:rsidRPr="00345597">
        <w:rPr>
          <w:rFonts w:ascii="Calibri" w:hAnsi="Calibri" w:cs="Calibri"/>
          <w:sz w:val="24"/>
          <w:szCs w:val="24"/>
          <w:lang w:val="en-US"/>
        </w:rPr>
        <w:t>critical Look August 2021, 4.</w:t>
      </w:r>
    </w:p>
  </w:footnote>
  <w:footnote w:id="29">
    <w:p w14:paraId="5F1A9CCC" w14:textId="77777777" w:rsidR="00363928" w:rsidRPr="00345597" w:rsidRDefault="007B43D0" w:rsidP="007B43D0">
      <w:pPr>
        <w:pStyle w:val="FootnoteText"/>
        <w:jc w:val="both"/>
        <w:rPr>
          <w:rFonts w:ascii="Calibri" w:hAnsi="Calibri" w:cs="Calibri"/>
          <w:sz w:val="24"/>
          <w:szCs w:val="24"/>
          <w:lang w:val="en-US"/>
        </w:rPr>
      </w:pPr>
      <w:r w:rsidRPr="00345597">
        <w:rPr>
          <w:rStyle w:val="FootnoteReference"/>
          <w:rFonts w:ascii="Calibri" w:hAnsi="Calibri" w:cs="Calibri"/>
          <w:sz w:val="24"/>
          <w:szCs w:val="24"/>
          <w:vertAlign w:val="baseline"/>
        </w:rPr>
        <w:footnoteRef/>
      </w:r>
      <w:r w:rsidRPr="00345597">
        <w:rPr>
          <w:rFonts w:ascii="Calibri" w:hAnsi="Calibri" w:cs="Calibri"/>
          <w:sz w:val="24"/>
          <w:szCs w:val="24"/>
        </w:rPr>
        <w:t xml:space="preserve"> </w:t>
      </w:r>
      <w:r w:rsidR="00363928" w:rsidRPr="00345597">
        <w:rPr>
          <w:rFonts w:ascii="Calibri" w:hAnsi="Calibri" w:cs="Calibri"/>
          <w:sz w:val="24"/>
          <w:szCs w:val="24"/>
        </w:rPr>
        <w:tab/>
      </w:r>
      <w:r w:rsidRPr="00345597">
        <w:rPr>
          <w:rFonts w:ascii="Calibri" w:hAnsi="Calibri" w:cs="Calibri"/>
          <w:sz w:val="24"/>
          <w:szCs w:val="24"/>
          <w:lang w:val="en-US"/>
        </w:rPr>
        <w:t xml:space="preserve">Sec. 1 (2) (c) of the EFCC Act. The Nigerian Financial Intelligence Unit (Establishment) </w:t>
      </w:r>
    </w:p>
    <w:p w14:paraId="24E6090A" w14:textId="77777777" w:rsidR="00363928" w:rsidRPr="00345597" w:rsidRDefault="007B43D0" w:rsidP="00363928">
      <w:pPr>
        <w:pStyle w:val="FootnoteText"/>
        <w:ind w:firstLine="720"/>
        <w:jc w:val="both"/>
        <w:rPr>
          <w:rFonts w:ascii="Calibri" w:hAnsi="Calibri" w:cs="Calibri"/>
          <w:sz w:val="24"/>
          <w:szCs w:val="24"/>
          <w:lang w:val="en-US"/>
        </w:rPr>
      </w:pPr>
      <w:r w:rsidRPr="00345597">
        <w:rPr>
          <w:rFonts w:ascii="Calibri" w:hAnsi="Calibri" w:cs="Calibri"/>
          <w:sz w:val="24"/>
          <w:szCs w:val="24"/>
          <w:lang w:val="en-US"/>
        </w:rPr>
        <w:t xml:space="preserve">Act 2018, established an autonomous agency known as the Nigerian Financial </w:t>
      </w:r>
    </w:p>
    <w:p w14:paraId="7A8E2ABC" w14:textId="1AFE328D" w:rsidR="007B43D0" w:rsidRPr="00345597" w:rsidRDefault="007B43D0" w:rsidP="00363928">
      <w:pPr>
        <w:pStyle w:val="FootnoteText"/>
        <w:ind w:firstLine="720"/>
        <w:jc w:val="both"/>
        <w:rPr>
          <w:rFonts w:ascii="Calibri" w:hAnsi="Calibri" w:cs="Calibri"/>
          <w:sz w:val="24"/>
          <w:szCs w:val="24"/>
          <w:lang w:val="en-US"/>
        </w:rPr>
      </w:pPr>
      <w:r w:rsidRPr="00345597">
        <w:rPr>
          <w:rFonts w:ascii="Calibri" w:hAnsi="Calibri" w:cs="Calibri"/>
          <w:sz w:val="24"/>
          <w:szCs w:val="24"/>
          <w:lang w:val="en-US"/>
        </w:rPr>
        <w:t>Intelligence Unit independent of the of EFCC.</w:t>
      </w:r>
    </w:p>
  </w:footnote>
  <w:footnote w:id="30">
    <w:p w14:paraId="56534914" w14:textId="77777777" w:rsidR="00363928" w:rsidRPr="00345597" w:rsidRDefault="007B43D0" w:rsidP="007B43D0">
      <w:pPr>
        <w:pStyle w:val="FootnoteText"/>
        <w:jc w:val="both"/>
        <w:rPr>
          <w:rFonts w:ascii="Calibri" w:hAnsi="Calibri" w:cs="Calibri"/>
          <w:sz w:val="24"/>
          <w:szCs w:val="24"/>
          <w:lang w:val="en-US"/>
        </w:rPr>
      </w:pPr>
      <w:r w:rsidRPr="00345597">
        <w:rPr>
          <w:rStyle w:val="FootnoteReference"/>
          <w:rFonts w:ascii="Calibri" w:hAnsi="Calibri" w:cs="Calibri"/>
          <w:sz w:val="24"/>
          <w:szCs w:val="24"/>
          <w:vertAlign w:val="baseline"/>
        </w:rPr>
        <w:footnoteRef/>
      </w:r>
      <w:r w:rsidRPr="00345597">
        <w:rPr>
          <w:rFonts w:ascii="Calibri" w:hAnsi="Calibri" w:cs="Calibri"/>
          <w:sz w:val="24"/>
          <w:szCs w:val="24"/>
        </w:rPr>
        <w:t xml:space="preserve"> </w:t>
      </w:r>
      <w:r w:rsidR="00363928" w:rsidRPr="00345597">
        <w:rPr>
          <w:rFonts w:ascii="Calibri" w:hAnsi="Calibri" w:cs="Calibri"/>
          <w:sz w:val="24"/>
          <w:szCs w:val="24"/>
        </w:rPr>
        <w:tab/>
      </w:r>
      <w:r w:rsidRPr="00345597">
        <w:rPr>
          <w:rFonts w:ascii="Calibri" w:hAnsi="Calibri" w:cs="Calibri"/>
          <w:sz w:val="24"/>
          <w:szCs w:val="24"/>
          <w:lang w:val="en-US"/>
        </w:rPr>
        <w:t xml:space="preserve">The difference in the mandates of the two agencies, in this respect, is more defined </w:t>
      </w:r>
    </w:p>
    <w:p w14:paraId="051E45D0" w14:textId="77777777" w:rsidR="00363928" w:rsidRPr="00345597" w:rsidRDefault="007B43D0" w:rsidP="00363928">
      <w:pPr>
        <w:pStyle w:val="FootnoteText"/>
        <w:ind w:firstLine="720"/>
        <w:jc w:val="both"/>
        <w:rPr>
          <w:rFonts w:ascii="Calibri" w:hAnsi="Calibri" w:cs="Calibri"/>
          <w:sz w:val="24"/>
          <w:szCs w:val="24"/>
          <w:lang w:val="en-US"/>
        </w:rPr>
      </w:pPr>
      <w:r w:rsidRPr="00345597">
        <w:rPr>
          <w:rFonts w:ascii="Calibri" w:hAnsi="Calibri" w:cs="Calibri"/>
          <w:sz w:val="24"/>
          <w:szCs w:val="24"/>
          <w:lang w:val="en-US"/>
        </w:rPr>
        <w:t xml:space="preserve">where there is a fine distinction between economic and financial crimes on one hand </w:t>
      </w:r>
    </w:p>
    <w:p w14:paraId="3B0A6F8C" w14:textId="54275CC1" w:rsidR="007B43D0" w:rsidRPr="00345597" w:rsidRDefault="007B43D0" w:rsidP="00363928">
      <w:pPr>
        <w:pStyle w:val="FootnoteText"/>
        <w:ind w:left="720"/>
        <w:jc w:val="both"/>
        <w:rPr>
          <w:rFonts w:ascii="Calibri" w:hAnsi="Calibri" w:cs="Calibri"/>
          <w:sz w:val="24"/>
          <w:szCs w:val="24"/>
          <w:lang w:val="en-US"/>
        </w:rPr>
      </w:pPr>
      <w:r w:rsidRPr="00345597">
        <w:rPr>
          <w:rFonts w:ascii="Calibri" w:hAnsi="Calibri" w:cs="Calibri"/>
          <w:sz w:val="24"/>
          <w:szCs w:val="24"/>
          <w:lang w:val="en-US"/>
        </w:rPr>
        <w:t>and corruption crimes on the other hand. While the EFCC is concerned with the former, the ICPC has mandate over the latter. Sec. 45 of the EFCC Act provides a strict interpretation of ‘economic and financial crimes’ which further helps to clarify the Commission’s mandate differently form that of the ICPC.</w:t>
      </w:r>
    </w:p>
  </w:footnote>
  <w:footnote w:id="31">
    <w:p w14:paraId="1A663470" w14:textId="7568ED0A" w:rsidR="007B43D0" w:rsidRPr="00345597" w:rsidRDefault="007B43D0" w:rsidP="007B43D0">
      <w:pPr>
        <w:pStyle w:val="FootnoteText"/>
        <w:jc w:val="both"/>
        <w:rPr>
          <w:rFonts w:ascii="Calibri" w:hAnsi="Calibri" w:cs="Calibri"/>
          <w:sz w:val="24"/>
          <w:szCs w:val="24"/>
          <w:lang w:val="en-US"/>
        </w:rPr>
      </w:pPr>
      <w:r w:rsidRPr="00345597">
        <w:rPr>
          <w:rStyle w:val="FootnoteReference"/>
          <w:rFonts w:ascii="Calibri" w:hAnsi="Calibri" w:cs="Calibri"/>
          <w:sz w:val="24"/>
          <w:szCs w:val="24"/>
          <w:vertAlign w:val="baseline"/>
        </w:rPr>
        <w:footnoteRef/>
      </w:r>
      <w:r w:rsidRPr="00345597">
        <w:rPr>
          <w:rFonts w:ascii="Calibri" w:hAnsi="Calibri" w:cs="Calibri"/>
          <w:sz w:val="24"/>
          <w:szCs w:val="24"/>
        </w:rPr>
        <w:t xml:space="preserve"> </w:t>
      </w:r>
      <w:r w:rsidR="00363928" w:rsidRPr="00345597">
        <w:rPr>
          <w:rFonts w:ascii="Calibri" w:hAnsi="Calibri" w:cs="Calibri"/>
          <w:sz w:val="24"/>
          <w:szCs w:val="24"/>
        </w:rPr>
        <w:tab/>
      </w:r>
      <w:r w:rsidRPr="00345597">
        <w:rPr>
          <w:rFonts w:ascii="Calibri" w:hAnsi="Calibri" w:cs="Calibri"/>
          <w:sz w:val="24"/>
          <w:szCs w:val="24"/>
          <w:lang w:val="en-US"/>
        </w:rPr>
        <w:t>Sec. 35-37 of the EFCC Act.</w:t>
      </w:r>
    </w:p>
  </w:footnote>
  <w:footnote w:id="32">
    <w:p w14:paraId="5DF679B6" w14:textId="555A867A" w:rsidR="007B43D0" w:rsidRPr="00345597" w:rsidRDefault="007B43D0" w:rsidP="007B43D0">
      <w:pPr>
        <w:pStyle w:val="FootnoteText"/>
        <w:jc w:val="both"/>
        <w:rPr>
          <w:rFonts w:ascii="Calibri" w:hAnsi="Calibri" w:cs="Calibri"/>
          <w:sz w:val="24"/>
          <w:szCs w:val="24"/>
          <w:lang w:val="en-US"/>
        </w:rPr>
      </w:pPr>
      <w:r w:rsidRPr="00345597">
        <w:rPr>
          <w:rStyle w:val="FootnoteReference"/>
          <w:rFonts w:ascii="Calibri" w:hAnsi="Calibri" w:cs="Calibri"/>
          <w:sz w:val="24"/>
          <w:szCs w:val="24"/>
          <w:vertAlign w:val="baseline"/>
        </w:rPr>
        <w:footnoteRef/>
      </w:r>
      <w:r w:rsidRPr="00345597">
        <w:rPr>
          <w:rFonts w:ascii="Calibri" w:hAnsi="Calibri" w:cs="Calibri"/>
          <w:sz w:val="24"/>
          <w:szCs w:val="24"/>
        </w:rPr>
        <w:t xml:space="preserve"> </w:t>
      </w:r>
      <w:r w:rsidR="00363928" w:rsidRPr="00345597">
        <w:rPr>
          <w:rFonts w:ascii="Calibri" w:hAnsi="Calibri" w:cs="Calibri"/>
          <w:sz w:val="24"/>
          <w:szCs w:val="24"/>
        </w:rPr>
        <w:tab/>
      </w:r>
      <w:r w:rsidRPr="00345597">
        <w:rPr>
          <w:rFonts w:ascii="Calibri" w:hAnsi="Calibri" w:cs="Calibri"/>
          <w:sz w:val="24"/>
          <w:szCs w:val="24"/>
        </w:rPr>
        <w:t>Sec. 174 and 211 of the Constitution of the Federal Republic of Nigeria 1999</w:t>
      </w:r>
    </w:p>
  </w:footnote>
  <w:footnote w:id="33">
    <w:p w14:paraId="53A830D4" w14:textId="0CE5DB41" w:rsidR="007B43D0" w:rsidRPr="00345597" w:rsidRDefault="007B43D0" w:rsidP="007B43D0">
      <w:pPr>
        <w:pStyle w:val="FootnoteText"/>
        <w:jc w:val="both"/>
        <w:rPr>
          <w:rFonts w:ascii="Calibri" w:hAnsi="Calibri" w:cs="Calibri"/>
          <w:sz w:val="24"/>
          <w:szCs w:val="24"/>
          <w:lang w:val="en-US"/>
        </w:rPr>
      </w:pPr>
      <w:r w:rsidRPr="00345597">
        <w:rPr>
          <w:rStyle w:val="FootnoteReference"/>
          <w:rFonts w:ascii="Calibri" w:hAnsi="Calibri" w:cs="Calibri"/>
          <w:sz w:val="24"/>
          <w:szCs w:val="24"/>
          <w:vertAlign w:val="baseline"/>
        </w:rPr>
        <w:footnoteRef/>
      </w:r>
      <w:r w:rsidRPr="00345597">
        <w:rPr>
          <w:rFonts w:ascii="Calibri" w:hAnsi="Calibri" w:cs="Calibri"/>
          <w:sz w:val="24"/>
          <w:szCs w:val="24"/>
        </w:rPr>
        <w:t xml:space="preserve"> </w:t>
      </w:r>
      <w:r w:rsidR="00363928" w:rsidRPr="00345597">
        <w:rPr>
          <w:rFonts w:ascii="Calibri" w:hAnsi="Calibri" w:cs="Calibri"/>
          <w:sz w:val="24"/>
          <w:szCs w:val="24"/>
        </w:rPr>
        <w:tab/>
      </w:r>
      <w:r w:rsidRPr="00345597">
        <w:rPr>
          <w:rFonts w:ascii="Calibri" w:hAnsi="Calibri" w:cs="Calibri"/>
          <w:sz w:val="24"/>
          <w:szCs w:val="24"/>
          <w:lang w:val="en-US"/>
        </w:rPr>
        <w:t>Sec. 43 of the EFCC Act.</w:t>
      </w:r>
    </w:p>
  </w:footnote>
  <w:footnote w:id="34">
    <w:p w14:paraId="76661C90" w14:textId="6918F36D" w:rsidR="007B43D0" w:rsidRPr="00345597" w:rsidRDefault="007B43D0" w:rsidP="007B43D0">
      <w:pPr>
        <w:pStyle w:val="FootnoteText"/>
        <w:jc w:val="both"/>
        <w:rPr>
          <w:rFonts w:ascii="Calibri" w:hAnsi="Calibri" w:cs="Calibri"/>
          <w:sz w:val="24"/>
          <w:szCs w:val="24"/>
          <w:lang w:val="en-US"/>
        </w:rPr>
      </w:pPr>
      <w:r w:rsidRPr="00345597">
        <w:rPr>
          <w:rStyle w:val="FootnoteReference"/>
          <w:rFonts w:ascii="Calibri" w:hAnsi="Calibri" w:cs="Calibri"/>
          <w:sz w:val="24"/>
          <w:szCs w:val="24"/>
          <w:vertAlign w:val="baseline"/>
        </w:rPr>
        <w:footnoteRef/>
      </w:r>
      <w:r w:rsidRPr="00345597">
        <w:rPr>
          <w:rFonts w:ascii="Calibri" w:hAnsi="Calibri" w:cs="Calibri"/>
          <w:sz w:val="24"/>
          <w:szCs w:val="24"/>
        </w:rPr>
        <w:t xml:space="preserve"> </w:t>
      </w:r>
      <w:r w:rsidR="00363928" w:rsidRPr="00345597">
        <w:rPr>
          <w:rFonts w:ascii="Calibri" w:hAnsi="Calibri" w:cs="Calibri"/>
          <w:sz w:val="24"/>
          <w:szCs w:val="24"/>
        </w:rPr>
        <w:tab/>
      </w:r>
      <w:r w:rsidRPr="00345597">
        <w:rPr>
          <w:rFonts w:ascii="Calibri" w:hAnsi="Calibri" w:cs="Calibri"/>
          <w:sz w:val="24"/>
          <w:szCs w:val="24"/>
          <w:lang w:val="en-US"/>
        </w:rPr>
        <w:t>Sec. 5 of the Assets Tracing Recovery and Management Regulations, 2019.</w:t>
      </w:r>
    </w:p>
  </w:footnote>
  <w:footnote w:id="35">
    <w:p w14:paraId="655041C8" w14:textId="77777777" w:rsidR="00363928" w:rsidRPr="00345597" w:rsidRDefault="007B43D0" w:rsidP="007B43D0">
      <w:pPr>
        <w:pStyle w:val="FootnoteText"/>
        <w:jc w:val="both"/>
        <w:rPr>
          <w:rFonts w:ascii="Calibri" w:hAnsi="Calibri" w:cs="Calibri"/>
          <w:i/>
          <w:iCs/>
          <w:sz w:val="24"/>
          <w:szCs w:val="24"/>
        </w:rPr>
      </w:pPr>
      <w:r w:rsidRPr="00345597">
        <w:rPr>
          <w:rStyle w:val="FootnoteReference"/>
          <w:rFonts w:ascii="Calibri" w:hAnsi="Calibri" w:cs="Calibri"/>
          <w:sz w:val="24"/>
          <w:szCs w:val="24"/>
          <w:vertAlign w:val="baseline"/>
        </w:rPr>
        <w:footnoteRef/>
      </w:r>
      <w:r w:rsidRPr="00345597">
        <w:rPr>
          <w:rFonts w:ascii="Calibri" w:hAnsi="Calibri" w:cs="Calibri"/>
          <w:sz w:val="24"/>
          <w:szCs w:val="24"/>
        </w:rPr>
        <w:t xml:space="preserve"> </w:t>
      </w:r>
      <w:r w:rsidR="00363928" w:rsidRPr="00345597">
        <w:rPr>
          <w:rFonts w:ascii="Calibri" w:hAnsi="Calibri" w:cs="Calibri"/>
          <w:sz w:val="24"/>
          <w:szCs w:val="24"/>
        </w:rPr>
        <w:tab/>
      </w:r>
      <w:r w:rsidRPr="00345597">
        <w:rPr>
          <w:rFonts w:ascii="Calibri" w:hAnsi="Calibri" w:cs="Calibri"/>
          <w:sz w:val="24"/>
          <w:szCs w:val="24"/>
        </w:rPr>
        <w:t>Abdul-</w:t>
      </w:r>
      <w:proofErr w:type="spellStart"/>
      <w:r w:rsidRPr="00345597">
        <w:rPr>
          <w:rFonts w:ascii="Calibri" w:hAnsi="Calibri" w:cs="Calibri"/>
          <w:sz w:val="24"/>
          <w:szCs w:val="24"/>
        </w:rPr>
        <w:t>rahman</w:t>
      </w:r>
      <w:proofErr w:type="spellEnd"/>
      <w:r w:rsidRPr="00345597">
        <w:rPr>
          <w:rFonts w:ascii="Calibri" w:hAnsi="Calibri" w:cs="Calibri"/>
          <w:sz w:val="24"/>
          <w:szCs w:val="24"/>
        </w:rPr>
        <w:t xml:space="preserve"> Abubakar ‘AGF writes EFCC, ICPC again over high profile case ‘</w:t>
      </w:r>
      <w:r w:rsidRPr="00345597">
        <w:rPr>
          <w:rFonts w:ascii="Calibri" w:hAnsi="Calibri" w:cs="Calibri"/>
          <w:i/>
          <w:iCs/>
          <w:sz w:val="24"/>
          <w:szCs w:val="24"/>
        </w:rPr>
        <w:t xml:space="preserve">Daily </w:t>
      </w:r>
    </w:p>
    <w:p w14:paraId="4662C190" w14:textId="0733B26A" w:rsidR="007B43D0" w:rsidRPr="00345597" w:rsidRDefault="007B43D0" w:rsidP="00C557BB">
      <w:pPr>
        <w:pStyle w:val="FootnoteText"/>
        <w:ind w:left="709" w:firstLine="11"/>
        <w:jc w:val="both"/>
        <w:rPr>
          <w:rFonts w:ascii="Calibri" w:hAnsi="Calibri" w:cs="Calibri"/>
          <w:sz w:val="24"/>
          <w:szCs w:val="24"/>
          <w:lang w:val="en-US"/>
        </w:rPr>
      </w:pPr>
      <w:r w:rsidRPr="00345597">
        <w:rPr>
          <w:rFonts w:ascii="Calibri" w:hAnsi="Calibri" w:cs="Calibri"/>
          <w:i/>
          <w:iCs/>
          <w:sz w:val="24"/>
          <w:szCs w:val="24"/>
        </w:rPr>
        <w:t xml:space="preserve">Trust </w:t>
      </w:r>
      <w:r w:rsidRPr="00345597">
        <w:rPr>
          <w:rFonts w:ascii="Calibri" w:hAnsi="Calibri" w:cs="Calibri"/>
          <w:sz w:val="24"/>
          <w:szCs w:val="24"/>
        </w:rPr>
        <w:t>( 10 august, 2017) &lt;</w:t>
      </w:r>
      <w:hyperlink r:id="rId6" w:history="1">
        <w:r w:rsidRPr="00345597">
          <w:rPr>
            <w:rStyle w:val="Hyperlink"/>
            <w:rFonts w:ascii="Calibri" w:hAnsi="Calibri" w:cs="Calibri"/>
            <w:color w:val="auto"/>
            <w:sz w:val="24"/>
            <w:szCs w:val="24"/>
            <w:u w:val="none"/>
          </w:rPr>
          <w:t>https://dailytrust.com/agf-writes-efcc-icpc-again-over-high-profile-cases/</w:t>
        </w:r>
      </w:hyperlink>
      <w:r w:rsidRPr="00345597">
        <w:rPr>
          <w:rFonts w:ascii="Calibri" w:hAnsi="Calibri" w:cs="Calibri"/>
          <w:sz w:val="24"/>
          <w:szCs w:val="24"/>
        </w:rPr>
        <w:t>&gt;  Accessed 22 September, 2024.</w:t>
      </w:r>
    </w:p>
  </w:footnote>
  <w:footnote w:id="36">
    <w:p w14:paraId="55A897E3" w14:textId="52F8751D" w:rsidR="007B43D0" w:rsidRPr="00345597" w:rsidRDefault="007B43D0" w:rsidP="007B43D0">
      <w:pPr>
        <w:pStyle w:val="FootnoteText"/>
        <w:jc w:val="both"/>
        <w:rPr>
          <w:rFonts w:ascii="Calibri" w:hAnsi="Calibri" w:cs="Calibri"/>
          <w:sz w:val="24"/>
          <w:szCs w:val="24"/>
          <w:lang w:val="en-US"/>
        </w:rPr>
      </w:pPr>
      <w:r w:rsidRPr="00345597">
        <w:rPr>
          <w:rStyle w:val="FootnoteReference"/>
          <w:rFonts w:ascii="Calibri" w:hAnsi="Calibri" w:cs="Calibri"/>
          <w:sz w:val="24"/>
          <w:szCs w:val="24"/>
          <w:vertAlign w:val="baseline"/>
        </w:rPr>
        <w:footnoteRef/>
      </w:r>
      <w:r w:rsidRPr="00345597">
        <w:rPr>
          <w:rFonts w:ascii="Calibri" w:hAnsi="Calibri" w:cs="Calibri"/>
          <w:sz w:val="24"/>
          <w:szCs w:val="24"/>
        </w:rPr>
        <w:t xml:space="preserve"> </w:t>
      </w:r>
      <w:r w:rsidR="00363928" w:rsidRPr="00345597">
        <w:rPr>
          <w:rFonts w:ascii="Calibri" w:hAnsi="Calibri" w:cs="Calibri"/>
          <w:sz w:val="24"/>
          <w:szCs w:val="24"/>
        </w:rPr>
        <w:tab/>
      </w:r>
      <w:r w:rsidRPr="00345597">
        <w:rPr>
          <w:rFonts w:ascii="Calibri" w:hAnsi="Calibri" w:cs="Calibri"/>
          <w:sz w:val="24"/>
          <w:szCs w:val="24"/>
          <w:lang w:val="en-US"/>
        </w:rPr>
        <w:t>About $ 5.3 billion US Dollars.</w:t>
      </w:r>
    </w:p>
  </w:footnote>
  <w:footnote w:id="37">
    <w:p w14:paraId="5D2B2049" w14:textId="77777777" w:rsidR="00363928" w:rsidRPr="00345597" w:rsidRDefault="007B43D0" w:rsidP="007B43D0">
      <w:pPr>
        <w:pStyle w:val="FootnoteText"/>
        <w:jc w:val="both"/>
        <w:rPr>
          <w:rFonts w:ascii="Calibri" w:hAnsi="Calibri" w:cs="Calibri"/>
          <w:sz w:val="24"/>
          <w:szCs w:val="24"/>
        </w:rPr>
      </w:pPr>
      <w:r w:rsidRPr="00345597">
        <w:rPr>
          <w:rStyle w:val="FootnoteReference"/>
          <w:rFonts w:ascii="Calibri" w:hAnsi="Calibri" w:cs="Calibri"/>
          <w:sz w:val="24"/>
          <w:szCs w:val="24"/>
          <w:vertAlign w:val="baseline"/>
        </w:rPr>
        <w:footnoteRef/>
      </w:r>
      <w:r w:rsidRPr="00345597">
        <w:rPr>
          <w:rFonts w:ascii="Calibri" w:hAnsi="Calibri" w:cs="Calibri"/>
          <w:sz w:val="24"/>
          <w:szCs w:val="24"/>
        </w:rPr>
        <w:t xml:space="preserve"> </w:t>
      </w:r>
      <w:r w:rsidR="00363928" w:rsidRPr="00345597">
        <w:rPr>
          <w:rFonts w:ascii="Calibri" w:hAnsi="Calibri" w:cs="Calibri"/>
          <w:sz w:val="24"/>
          <w:szCs w:val="24"/>
        </w:rPr>
        <w:tab/>
      </w:r>
      <w:r w:rsidRPr="00345597">
        <w:rPr>
          <w:rFonts w:ascii="Calibri" w:hAnsi="Calibri" w:cs="Calibri"/>
          <w:sz w:val="24"/>
          <w:szCs w:val="24"/>
        </w:rPr>
        <w:t xml:space="preserve">Kunle </w:t>
      </w:r>
      <w:proofErr w:type="spellStart"/>
      <w:r w:rsidRPr="00345597">
        <w:rPr>
          <w:rFonts w:ascii="Calibri" w:hAnsi="Calibri" w:cs="Calibri"/>
          <w:sz w:val="24"/>
          <w:szCs w:val="24"/>
        </w:rPr>
        <w:t>Sanni</w:t>
      </w:r>
      <w:proofErr w:type="spellEnd"/>
      <w:r w:rsidRPr="00345597">
        <w:rPr>
          <w:rFonts w:ascii="Calibri" w:hAnsi="Calibri" w:cs="Calibri"/>
          <w:sz w:val="24"/>
          <w:szCs w:val="24"/>
        </w:rPr>
        <w:t xml:space="preserve">, ‘Nigeria’s Anti-Graft agencies Recover N900 Billion Looted Assets in 20 </w:t>
      </w:r>
    </w:p>
    <w:p w14:paraId="3FD7D2DB" w14:textId="5E96E063" w:rsidR="007B43D0" w:rsidRPr="00345597" w:rsidRDefault="007B43D0" w:rsidP="00C557BB">
      <w:pPr>
        <w:pStyle w:val="FootnoteText"/>
        <w:ind w:left="709"/>
        <w:rPr>
          <w:rFonts w:ascii="Calibri" w:hAnsi="Calibri" w:cs="Calibri"/>
          <w:sz w:val="24"/>
          <w:szCs w:val="24"/>
          <w:lang w:val="en-US"/>
        </w:rPr>
      </w:pPr>
      <w:r w:rsidRPr="00345597">
        <w:rPr>
          <w:rFonts w:ascii="Calibri" w:hAnsi="Calibri" w:cs="Calibri"/>
          <w:sz w:val="24"/>
          <w:szCs w:val="24"/>
        </w:rPr>
        <w:t xml:space="preserve">Years </w:t>
      </w:r>
      <w:r w:rsidRPr="00345597">
        <w:rPr>
          <w:rFonts w:ascii="Calibri" w:hAnsi="Calibri" w:cs="Calibri"/>
          <w:i/>
          <w:sz w:val="24"/>
          <w:szCs w:val="24"/>
        </w:rPr>
        <w:t>Premium Times</w:t>
      </w:r>
      <w:r w:rsidRPr="00345597">
        <w:rPr>
          <w:rFonts w:ascii="Calibri" w:hAnsi="Calibri" w:cs="Calibri"/>
          <w:sz w:val="24"/>
          <w:szCs w:val="24"/>
        </w:rPr>
        <w:t xml:space="preserve"> (6 December 2021) &lt;</w:t>
      </w:r>
      <w:hyperlink r:id="rId7" w:history="1">
        <w:r w:rsidRPr="00345597">
          <w:rPr>
            <w:rStyle w:val="Hyperlink"/>
            <w:rFonts w:ascii="Calibri" w:hAnsi="Calibri" w:cs="Calibri"/>
            <w:color w:val="auto"/>
            <w:sz w:val="24"/>
            <w:szCs w:val="24"/>
            <w:u w:val="none"/>
          </w:rPr>
          <w:t>https://www.premiumtimesng.com/news/top-news/499315-nigerias-anti-graft-agencies-recover-n900-billion-looted-assets-in-20-years-cdd.html</w:t>
        </w:r>
      </w:hyperlink>
      <w:r w:rsidRPr="00345597">
        <w:rPr>
          <w:rFonts w:ascii="Calibri" w:hAnsi="Calibri" w:cs="Calibri"/>
          <w:sz w:val="24"/>
          <w:szCs w:val="24"/>
        </w:rPr>
        <w:t xml:space="preserve">) Accessed 12 June, 2024. </w:t>
      </w:r>
    </w:p>
  </w:footnote>
  <w:footnote w:id="38">
    <w:p w14:paraId="55C0EAE8" w14:textId="5A82870E" w:rsidR="007B43D0" w:rsidRPr="00345597" w:rsidRDefault="007B43D0" w:rsidP="005D4643">
      <w:pPr>
        <w:pStyle w:val="FootnoteText"/>
        <w:ind w:left="709" w:hanging="709"/>
        <w:jc w:val="both"/>
        <w:rPr>
          <w:rFonts w:ascii="Calibri" w:hAnsi="Calibri" w:cs="Calibri"/>
          <w:sz w:val="24"/>
          <w:szCs w:val="24"/>
        </w:rPr>
      </w:pPr>
      <w:r w:rsidRPr="00345597">
        <w:rPr>
          <w:rStyle w:val="FootnoteReference"/>
          <w:rFonts w:ascii="Calibri" w:hAnsi="Calibri" w:cs="Calibri"/>
          <w:sz w:val="24"/>
          <w:szCs w:val="24"/>
          <w:vertAlign w:val="baseline"/>
        </w:rPr>
        <w:footnoteRef/>
      </w:r>
      <w:r w:rsidRPr="00345597">
        <w:rPr>
          <w:rFonts w:ascii="Calibri" w:hAnsi="Calibri" w:cs="Calibri"/>
          <w:sz w:val="24"/>
          <w:szCs w:val="24"/>
        </w:rPr>
        <w:t xml:space="preserve"> </w:t>
      </w:r>
      <w:r w:rsidR="00363928" w:rsidRPr="00345597">
        <w:rPr>
          <w:rFonts w:ascii="Calibri" w:hAnsi="Calibri" w:cs="Calibri"/>
          <w:sz w:val="24"/>
          <w:szCs w:val="24"/>
        </w:rPr>
        <w:tab/>
      </w:r>
      <w:r w:rsidRPr="00345597">
        <w:rPr>
          <w:rFonts w:ascii="Calibri" w:hAnsi="Calibri" w:cs="Calibri"/>
          <w:sz w:val="24"/>
          <w:szCs w:val="24"/>
        </w:rPr>
        <w:t>Femi Gold, ‘Steadily Winning the War Against Corruption’</w:t>
      </w:r>
      <w:r w:rsidRPr="00345597">
        <w:rPr>
          <w:rFonts w:ascii="Calibri" w:hAnsi="Calibri" w:cs="Calibri"/>
          <w:i/>
          <w:sz w:val="24"/>
          <w:szCs w:val="24"/>
        </w:rPr>
        <w:t xml:space="preserve"> ICPC</w:t>
      </w:r>
      <w:r w:rsidRPr="00345597">
        <w:rPr>
          <w:rFonts w:ascii="Calibri" w:hAnsi="Calibri" w:cs="Calibri"/>
          <w:sz w:val="24"/>
          <w:szCs w:val="24"/>
        </w:rPr>
        <w:t xml:space="preserve"> (21 September, 2021) &lt;</w:t>
      </w:r>
      <w:hyperlink r:id="rId8" w:history="1">
        <w:r w:rsidRPr="00345597">
          <w:rPr>
            <w:rStyle w:val="Hyperlink"/>
            <w:rFonts w:ascii="Calibri" w:hAnsi="Calibri" w:cs="Calibri"/>
            <w:color w:val="auto"/>
            <w:sz w:val="24"/>
            <w:szCs w:val="24"/>
            <w:u w:val="none"/>
          </w:rPr>
          <w:t>https://icpc.gov.ng/20y121/09/06/icpc-steadily-winning-the-war-against-corruption-written-by-femi-gold/</w:t>
        </w:r>
      </w:hyperlink>
      <w:r w:rsidRPr="00345597">
        <w:rPr>
          <w:rFonts w:ascii="Calibri" w:hAnsi="Calibri" w:cs="Calibri"/>
          <w:sz w:val="24"/>
          <w:szCs w:val="24"/>
        </w:rPr>
        <w:t xml:space="preserve">&gt; Accessed 31 May, 2024. </w:t>
      </w:r>
    </w:p>
  </w:footnote>
  <w:footnote w:id="39">
    <w:p w14:paraId="6500ADD5" w14:textId="5C840B8F" w:rsidR="007B43D0" w:rsidRPr="00345597" w:rsidRDefault="007B43D0" w:rsidP="00D87729">
      <w:pPr>
        <w:pStyle w:val="FootnoteText"/>
        <w:ind w:left="709" w:hanging="709"/>
        <w:jc w:val="both"/>
        <w:rPr>
          <w:rFonts w:ascii="Calibri" w:hAnsi="Calibri" w:cs="Calibri"/>
          <w:sz w:val="24"/>
          <w:szCs w:val="24"/>
          <w:lang w:val="en-US"/>
        </w:rPr>
      </w:pPr>
      <w:r w:rsidRPr="00345597">
        <w:rPr>
          <w:rStyle w:val="FootnoteReference"/>
          <w:rFonts w:ascii="Calibri" w:hAnsi="Calibri" w:cs="Calibri"/>
          <w:sz w:val="24"/>
          <w:szCs w:val="24"/>
          <w:vertAlign w:val="baseline"/>
        </w:rPr>
        <w:footnoteRef/>
      </w:r>
      <w:r w:rsidRPr="00345597">
        <w:rPr>
          <w:rFonts w:ascii="Calibri" w:hAnsi="Calibri" w:cs="Calibri"/>
          <w:sz w:val="24"/>
          <w:szCs w:val="24"/>
        </w:rPr>
        <w:t xml:space="preserve"> </w:t>
      </w:r>
      <w:r w:rsidR="00363928" w:rsidRPr="00345597">
        <w:rPr>
          <w:rFonts w:ascii="Calibri" w:hAnsi="Calibri" w:cs="Calibri"/>
          <w:sz w:val="24"/>
          <w:szCs w:val="24"/>
        </w:rPr>
        <w:tab/>
      </w:r>
      <w:r w:rsidRPr="00345597">
        <w:rPr>
          <w:rFonts w:ascii="Calibri" w:hAnsi="Calibri" w:cs="Calibri"/>
          <w:sz w:val="24"/>
          <w:szCs w:val="24"/>
        </w:rPr>
        <w:t>ICPC ‘</w:t>
      </w:r>
      <w:r w:rsidRPr="00345597">
        <w:rPr>
          <w:rFonts w:ascii="Calibri" w:hAnsi="Calibri" w:cs="Calibri"/>
          <w:sz w:val="24"/>
          <w:szCs w:val="24"/>
          <w:lang w:val="en-US"/>
        </w:rPr>
        <w:t>ICPC recovers restrains over N454 bn in four years’ (22 June, 2023) &lt;</w:t>
      </w:r>
      <w:hyperlink r:id="rId9" w:anchor=":~:text=Apart%20from%20the%20recoveries%2C%20other,Projects%20Tracking%20Initiative%20(CEPTI)" w:history="1">
        <w:r w:rsidRPr="00345597">
          <w:rPr>
            <w:rStyle w:val="Hyperlink"/>
            <w:rFonts w:ascii="Calibri" w:hAnsi="Calibri" w:cs="Calibri"/>
            <w:color w:val="auto"/>
            <w:sz w:val="24"/>
            <w:szCs w:val="24"/>
            <w:u w:val="none"/>
            <w:lang w:val="en-US"/>
          </w:rPr>
          <w:t>https://icpc.gov.ng/2023/06/22/18184/#:~:text=Apart%20from%20the%20recoveries%2C%20other,Projects%20Tracking%20Initiative%20(CEPTI)</w:t>
        </w:r>
      </w:hyperlink>
      <w:r w:rsidRPr="00345597">
        <w:rPr>
          <w:rFonts w:ascii="Calibri" w:hAnsi="Calibri" w:cs="Calibri"/>
          <w:sz w:val="24"/>
          <w:szCs w:val="24"/>
          <w:lang w:val="en-US"/>
        </w:rPr>
        <w:t>&gt;  Accessed 30 August. 2024.</w:t>
      </w:r>
    </w:p>
  </w:footnote>
  <w:footnote w:id="40">
    <w:p w14:paraId="66199F44" w14:textId="50BC673B" w:rsidR="007B43D0" w:rsidRPr="00345597" w:rsidRDefault="007B43D0" w:rsidP="00D87729">
      <w:pPr>
        <w:pStyle w:val="FootnoteText"/>
        <w:ind w:left="709" w:hanging="709"/>
        <w:jc w:val="both"/>
        <w:rPr>
          <w:rFonts w:ascii="Calibri" w:hAnsi="Calibri" w:cs="Calibri"/>
          <w:sz w:val="24"/>
          <w:szCs w:val="24"/>
          <w:lang w:val="en-US"/>
        </w:rPr>
      </w:pPr>
      <w:r w:rsidRPr="00345597">
        <w:rPr>
          <w:rStyle w:val="FootnoteReference"/>
          <w:rFonts w:ascii="Calibri" w:hAnsi="Calibri" w:cs="Calibri"/>
          <w:sz w:val="24"/>
          <w:szCs w:val="24"/>
          <w:vertAlign w:val="baseline"/>
        </w:rPr>
        <w:footnoteRef/>
      </w:r>
      <w:r w:rsidRPr="00345597">
        <w:rPr>
          <w:rFonts w:ascii="Calibri" w:hAnsi="Calibri" w:cs="Calibri"/>
          <w:sz w:val="24"/>
          <w:szCs w:val="24"/>
          <w:lang w:val="en-US"/>
        </w:rPr>
        <w:t xml:space="preserve"> </w:t>
      </w:r>
      <w:r w:rsidR="00363928" w:rsidRPr="00345597">
        <w:rPr>
          <w:rFonts w:ascii="Calibri" w:hAnsi="Calibri" w:cs="Calibri"/>
          <w:sz w:val="24"/>
          <w:szCs w:val="24"/>
          <w:lang w:val="en-US"/>
        </w:rPr>
        <w:tab/>
      </w:r>
      <w:r w:rsidRPr="00345597">
        <w:rPr>
          <w:rFonts w:ascii="Calibri" w:hAnsi="Calibri" w:cs="Calibri"/>
          <w:sz w:val="24"/>
          <w:szCs w:val="24"/>
          <w:lang w:val="en-US"/>
        </w:rPr>
        <w:t>Approx. $101 million US Dollars. EFCC, ‘EFCC secures 3,175 convictions, recovers N156 billion in one year’ (29 May, 2024) &lt;</w:t>
      </w:r>
      <w:r w:rsidRPr="00345597">
        <w:rPr>
          <w:rFonts w:ascii="Calibri" w:hAnsi="Calibri" w:cs="Calibri"/>
          <w:sz w:val="24"/>
          <w:szCs w:val="24"/>
        </w:rPr>
        <w:t xml:space="preserve"> </w:t>
      </w:r>
      <w:hyperlink r:id="rId10" w:history="1">
        <w:r w:rsidRPr="00345597">
          <w:rPr>
            <w:rStyle w:val="Hyperlink"/>
            <w:rFonts w:ascii="Calibri" w:hAnsi="Calibri" w:cs="Calibri"/>
            <w:color w:val="auto"/>
            <w:sz w:val="24"/>
            <w:szCs w:val="24"/>
            <w:u w:val="none"/>
            <w:lang w:val="en-US"/>
          </w:rPr>
          <w:t>https://www.efcc.gov.ng/efcc/news-and-information/news-release/10136-efcc-secures-3-175-convictions-recovers-n156-billion-in-one-year</w:t>
        </w:r>
      </w:hyperlink>
      <w:r w:rsidRPr="00345597">
        <w:rPr>
          <w:rFonts w:ascii="Calibri" w:hAnsi="Calibri" w:cs="Calibri"/>
          <w:sz w:val="24"/>
          <w:szCs w:val="24"/>
          <w:lang w:val="en-US"/>
        </w:rPr>
        <w:t>&gt; Accessed 10 August, 2024.</w:t>
      </w:r>
      <w:r w:rsidRPr="00345597">
        <w:rPr>
          <w:rFonts w:ascii="Calibri" w:hAnsi="Calibri" w:cs="Calibri"/>
          <w:sz w:val="24"/>
          <w:szCs w:val="24"/>
        </w:rPr>
        <w:t xml:space="preserve"> </w:t>
      </w:r>
    </w:p>
  </w:footnote>
  <w:footnote w:id="41">
    <w:p w14:paraId="7FFFDA34" w14:textId="081FE8C7" w:rsidR="007B43D0" w:rsidRPr="00345597" w:rsidRDefault="007B43D0" w:rsidP="00983EF5">
      <w:pPr>
        <w:pStyle w:val="FootnoteText"/>
        <w:ind w:left="709" w:hanging="709"/>
        <w:rPr>
          <w:rFonts w:ascii="Calibri" w:hAnsi="Calibri" w:cs="Calibri"/>
          <w:sz w:val="24"/>
          <w:szCs w:val="24"/>
          <w:lang w:val="en-US"/>
        </w:rPr>
      </w:pPr>
      <w:r w:rsidRPr="00345597">
        <w:rPr>
          <w:rStyle w:val="FootnoteReference"/>
          <w:rFonts w:ascii="Calibri" w:hAnsi="Calibri" w:cs="Calibri"/>
          <w:sz w:val="24"/>
          <w:szCs w:val="24"/>
          <w:vertAlign w:val="baseline"/>
        </w:rPr>
        <w:footnoteRef/>
      </w:r>
      <w:r w:rsidRPr="00345597">
        <w:rPr>
          <w:rFonts w:ascii="Calibri" w:hAnsi="Calibri" w:cs="Calibri"/>
          <w:sz w:val="24"/>
          <w:szCs w:val="24"/>
        </w:rPr>
        <w:t xml:space="preserve"> </w:t>
      </w:r>
      <w:r w:rsidR="00941179" w:rsidRPr="00345597">
        <w:rPr>
          <w:rFonts w:ascii="Calibri" w:hAnsi="Calibri" w:cs="Calibri"/>
          <w:sz w:val="24"/>
          <w:szCs w:val="24"/>
        </w:rPr>
        <w:tab/>
      </w:r>
      <w:r w:rsidRPr="00345597">
        <w:rPr>
          <w:rFonts w:ascii="Calibri" w:hAnsi="Calibri" w:cs="Calibri"/>
          <w:sz w:val="24"/>
          <w:szCs w:val="24"/>
          <w:lang w:val="en-US"/>
        </w:rPr>
        <w:t>EFCC, ‘EFFC Conviction Records 2022’ (8 January, 2023) &lt;</w:t>
      </w:r>
      <w:hyperlink r:id="rId11" w:history="1">
        <w:r w:rsidRPr="00345597">
          <w:rPr>
            <w:rStyle w:val="Hyperlink"/>
            <w:rFonts w:ascii="Calibri" w:hAnsi="Calibri" w:cs="Calibri"/>
            <w:color w:val="auto"/>
            <w:sz w:val="24"/>
            <w:szCs w:val="24"/>
            <w:u w:val="none"/>
            <w:lang w:val="en-US"/>
          </w:rPr>
          <w:t>https://www.efcc.gov.ng/efcc/news-and-information/news-release/8781-efcc-secures-3785-convictions-in-2022</w:t>
        </w:r>
      </w:hyperlink>
      <w:r w:rsidRPr="00345597">
        <w:rPr>
          <w:rFonts w:ascii="Calibri" w:hAnsi="Calibri" w:cs="Calibri"/>
          <w:sz w:val="24"/>
          <w:szCs w:val="24"/>
          <w:lang w:val="en-US"/>
        </w:rPr>
        <w:t>&gt; Accessed 10 August, 2024.</w:t>
      </w:r>
    </w:p>
  </w:footnote>
  <w:footnote w:id="42">
    <w:p w14:paraId="1562E951" w14:textId="66D12D0E" w:rsidR="007B43D0" w:rsidRPr="00345597" w:rsidRDefault="007B43D0" w:rsidP="000B1A23">
      <w:pPr>
        <w:pStyle w:val="FootnoteText"/>
        <w:ind w:left="709" w:hanging="709"/>
        <w:jc w:val="both"/>
        <w:rPr>
          <w:rFonts w:ascii="Calibri" w:hAnsi="Calibri" w:cs="Calibri"/>
          <w:sz w:val="24"/>
          <w:szCs w:val="24"/>
        </w:rPr>
      </w:pPr>
      <w:r w:rsidRPr="00345597">
        <w:rPr>
          <w:rStyle w:val="FootnoteReference"/>
          <w:rFonts w:ascii="Calibri" w:hAnsi="Calibri" w:cs="Calibri"/>
          <w:sz w:val="24"/>
          <w:szCs w:val="24"/>
          <w:vertAlign w:val="baseline"/>
        </w:rPr>
        <w:footnoteRef/>
      </w:r>
      <w:r w:rsidRPr="00345597">
        <w:rPr>
          <w:rFonts w:ascii="Calibri" w:hAnsi="Calibri" w:cs="Calibri"/>
          <w:sz w:val="24"/>
          <w:szCs w:val="24"/>
        </w:rPr>
        <w:t xml:space="preserve"> </w:t>
      </w:r>
      <w:r w:rsidR="00363928" w:rsidRPr="00345597">
        <w:rPr>
          <w:rFonts w:ascii="Calibri" w:hAnsi="Calibri" w:cs="Calibri"/>
          <w:sz w:val="24"/>
          <w:szCs w:val="24"/>
        </w:rPr>
        <w:tab/>
      </w:r>
      <w:r w:rsidRPr="00345597">
        <w:rPr>
          <w:rFonts w:ascii="Calibri" w:hAnsi="Calibri" w:cs="Calibri"/>
          <w:sz w:val="24"/>
          <w:szCs w:val="24"/>
        </w:rPr>
        <w:t xml:space="preserve">NAN, ‘EFCC Records 48 Convictions, N 8.5 billion Recoveries’ </w:t>
      </w:r>
      <w:r w:rsidRPr="00345597">
        <w:rPr>
          <w:rFonts w:ascii="Calibri" w:hAnsi="Calibri" w:cs="Calibri"/>
          <w:i/>
          <w:sz w:val="24"/>
          <w:szCs w:val="24"/>
        </w:rPr>
        <w:t>The Guardian</w:t>
      </w:r>
      <w:r w:rsidRPr="00345597">
        <w:rPr>
          <w:rFonts w:ascii="Calibri" w:hAnsi="Calibri" w:cs="Calibri"/>
          <w:sz w:val="24"/>
          <w:szCs w:val="24"/>
        </w:rPr>
        <w:t xml:space="preserve"> (14 February, 2020). &lt;</w:t>
      </w:r>
      <w:hyperlink r:id="rId12" w:history="1">
        <w:r w:rsidRPr="00345597">
          <w:rPr>
            <w:rStyle w:val="Hyperlink"/>
            <w:rFonts w:ascii="Calibri" w:hAnsi="Calibri" w:cs="Calibri"/>
            <w:color w:val="auto"/>
            <w:sz w:val="24"/>
            <w:szCs w:val="24"/>
            <w:u w:val="none"/>
          </w:rPr>
          <w:t>https://guardian.ng/news/efcc-records-48-convictions-n8-5bn-recoveries/</w:t>
        </w:r>
      </w:hyperlink>
      <w:r w:rsidRPr="00345597">
        <w:rPr>
          <w:rFonts w:ascii="Calibri" w:hAnsi="Calibri" w:cs="Calibri"/>
          <w:sz w:val="24"/>
          <w:szCs w:val="24"/>
        </w:rPr>
        <w:t>&gt; Accessed 30 May, 2024.</w:t>
      </w:r>
    </w:p>
  </w:footnote>
  <w:footnote w:id="43">
    <w:p w14:paraId="0E9D759C" w14:textId="04CE17A3" w:rsidR="007B43D0" w:rsidRPr="00345597" w:rsidRDefault="007B43D0" w:rsidP="00363928">
      <w:pPr>
        <w:ind w:left="709" w:hanging="709"/>
        <w:jc w:val="both"/>
        <w:rPr>
          <w:rFonts w:ascii="Calibri" w:hAnsi="Calibri" w:cs="Calibri"/>
        </w:rPr>
      </w:pPr>
      <w:r w:rsidRPr="00345597">
        <w:rPr>
          <w:rStyle w:val="FootnoteReference"/>
          <w:rFonts w:ascii="Calibri" w:hAnsi="Calibri" w:cs="Calibri"/>
          <w:vertAlign w:val="baseline"/>
        </w:rPr>
        <w:footnoteRef/>
      </w:r>
      <w:r w:rsidR="00363928" w:rsidRPr="00345597">
        <w:rPr>
          <w:rFonts w:ascii="Calibri" w:hAnsi="Calibri" w:cs="Calibri"/>
        </w:rPr>
        <w:t xml:space="preserve"> </w:t>
      </w:r>
      <w:r w:rsidR="00363928" w:rsidRPr="00345597">
        <w:rPr>
          <w:rFonts w:ascii="Calibri" w:hAnsi="Calibri" w:cs="Calibri"/>
        </w:rPr>
        <w:tab/>
      </w:r>
      <w:r w:rsidRPr="00345597">
        <w:rPr>
          <w:rFonts w:ascii="Calibri" w:hAnsi="Calibri" w:cs="Calibri"/>
        </w:rPr>
        <w:t>CJID, ‘Top 10 Corruption Scandals Nigeria’s National Assembly hasn’t resolved.’ &lt;</w:t>
      </w:r>
      <w:hyperlink r:id="rId13" w:history="1">
        <w:r w:rsidRPr="00345597">
          <w:rPr>
            <w:rStyle w:val="Hyperlink"/>
            <w:rFonts w:ascii="Calibri" w:hAnsi="Calibri" w:cs="Calibri"/>
            <w:color w:val="auto"/>
            <w:u w:val="none"/>
          </w:rPr>
          <w:t>https://thecjid.org/top-10-corruption-scandals-nigerias-national-assembly-hasnt-resolved/</w:t>
        </w:r>
      </w:hyperlink>
      <w:r w:rsidRPr="00345597">
        <w:rPr>
          <w:rFonts w:ascii="Calibri" w:hAnsi="Calibri" w:cs="Calibri"/>
        </w:rPr>
        <w:t xml:space="preserve">&gt; Accessed 10 August, 2024. The Corruption Perception Index in Nigeria averaged 21.48 Points from 1996 until 2023, reaching an all-time high of 28.00 Points in 2016 and a record low of 26.90 Points in 1996. </w:t>
      </w:r>
    </w:p>
  </w:footnote>
  <w:footnote w:id="44">
    <w:p w14:paraId="7FBBE1ED" w14:textId="77777777" w:rsidR="00363928" w:rsidRPr="00345597" w:rsidRDefault="007B43D0" w:rsidP="007B43D0">
      <w:pPr>
        <w:pStyle w:val="FootnoteText"/>
        <w:jc w:val="both"/>
        <w:rPr>
          <w:rFonts w:ascii="Calibri" w:hAnsi="Calibri" w:cs="Calibri"/>
          <w:sz w:val="24"/>
          <w:szCs w:val="24"/>
        </w:rPr>
      </w:pPr>
      <w:r w:rsidRPr="00345597">
        <w:rPr>
          <w:rStyle w:val="FootnoteReference"/>
          <w:rFonts w:ascii="Calibri" w:hAnsi="Calibri" w:cs="Calibri"/>
          <w:sz w:val="24"/>
          <w:szCs w:val="24"/>
          <w:vertAlign w:val="baseline"/>
        </w:rPr>
        <w:footnoteRef/>
      </w:r>
      <w:r w:rsidRPr="00345597">
        <w:rPr>
          <w:rFonts w:ascii="Calibri" w:hAnsi="Calibri" w:cs="Calibri"/>
          <w:sz w:val="24"/>
          <w:szCs w:val="24"/>
        </w:rPr>
        <w:t xml:space="preserve"> </w:t>
      </w:r>
      <w:r w:rsidR="00363928" w:rsidRPr="00345597">
        <w:rPr>
          <w:rFonts w:ascii="Calibri" w:hAnsi="Calibri" w:cs="Calibri"/>
          <w:sz w:val="24"/>
          <w:szCs w:val="24"/>
        </w:rPr>
        <w:tab/>
      </w:r>
      <w:r w:rsidRPr="00345597">
        <w:rPr>
          <w:rFonts w:ascii="Calibri" w:hAnsi="Calibri" w:cs="Calibri"/>
          <w:sz w:val="24"/>
          <w:szCs w:val="24"/>
        </w:rPr>
        <w:t xml:space="preserve">Kano state established the Kano State Public Complaints and Anti-Corruption </w:t>
      </w:r>
    </w:p>
    <w:p w14:paraId="0EA330B4" w14:textId="77777777" w:rsidR="00363928" w:rsidRPr="00345597" w:rsidRDefault="007B43D0" w:rsidP="00363928">
      <w:pPr>
        <w:pStyle w:val="FootnoteText"/>
        <w:ind w:firstLine="720"/>
        <w:jc w:val="both"/>
        <w:rPr>
          <w:rFonts w:ascii="Calibri" w:hAnsi="Calibri" w:cs="Calibri"/>
          <w:sz w:val="24"/>
          <w:szCs w:val="24"/>
        </w:rPr>
      </w:pPr>
      <w:r w:rsidRPr="00345597">
        <w:rPr>
          <w:rFonts w:ascii="Calibri" w:hAnsi="Calibri" w:cs="Calibri"/>
          <w:sz w:val="24"/>
          <w:szCs w:val="24"/>
        </w:rPr>
        <w:t xml:space="preserve">Commission (KPCACC) in 2008 and Lagos and Oyo states established the Oyo State </w:t>
      </w:r>
    </w:p>
    <w:p w14:paraId="279E8091" w14:textId="77777777" w:rsidR="00363928" w:rsidRPr="00345597" w:rsidRDefault="007B43D0" w:rsidP="00363928">
      <w:pPr>
        <w:pStyle w:val="FootnoteText"/>
        <w:ind w:firstLine="720"/>
        <w:jc w:val="both"/>
        <w:rPr>
          <w:rFonts w:ascii="Calibri" w:hAnsi="Calibri" w:cs="Calibri"/>
          <w:sz w:val="24"/>
          <w:szCs w:val="24"/>
        </w:rPr>
      </w:pPr>
      <w:r w:rsidRPr="00345597">
        <w:rPr>
          <w:rFonts w:ascii="Calibri" w:hAnsi="Calibri" w:cs="Calibri"/>
          <w:sz w:val="24"/>
          <w:szCs w:val="24"/>
        </w:rPr>
        <w:t xml:space="preserve">Anti-Corruption Agency (OYACA) and Lagos State established the Public Complaints </w:t>
      </w:r>
    </w:p>
    <w:p w14:paraId="49B5A974" w14:textId="2590306D" w:rsidR="007B43D0" w:rsidRPr="00345597" w:rsidRDefault="007B43D0" w:rsidP="00363928">
      <w:pPr>
        <w:pStyle w:val="FootnoteText"/>
        <w:ind w:firstLine="720"/>
        <w:jc w:val="both"/>
        <w:rPr>
          <w:rFonts w:ascii="Calibri" w:hAnsi="Calibri" w:cs="Calibri"/>
          <w:sz w:val="24"/>
          <w:szCs w:val="24"/>
          <w:lang w:val="en-US"/>
        </w:rPr>
      </w:pPr>
      <w:r w:rsidRPr="00345597">
        <w:rPr>
          <w:rFonts w:ascii="Calibri" w:hAnsi="Calibri" w:cs="Calibri"/>
          <w:sz w:val="24"/>
          <w:szCs w:val="24"/>
        </w:rPr>
        <w:t xml:space="preserve">and Anti-Corruption Commission (LPCACC) in 2019 and 2021 respectively </w:t>
      </w:r>
    </w:p>
  </w:footnote>
  <w:footnote w:id="45">
    <w:p w14:paraId="6354C53F" w14:textId="77777777" w:rsidR="00363928" w:rsidRPr="00345597" w:rsidRDefault="007B43D0" w:rsidP="007B43D0">
      <w:pPr>
        <w:pStyle w:val="FootnoteText"/>
        <w:jc w:val="both"/>
        <w:rPr>
          <w:rFonts w:ascii="Calibri" w:hAnsi="Calibri" w:cs="Calibri"/>
          <w:i/>
          <w:iCs/>
          <w:sz w:val="24"/>
          <w:szCs w:val="24"/>
        </w:rPr>
      </w:pPr>
      <w:r w:rsidRPr="00345597">
        <w:rPr>
          <w:rStyle w:val="FootnoteReference"/>
          <w:rFonts w:ascii="Calibri" w:hAnsi="Calibri" w:cs="Calibri"/>
          <w:sz w:val="24"/>
          <w:szCs w:val="24"/>
          <w:vertAlign w:val="baseline"/>
        </w:rPr>
        <w:footnoteRef/>
      </w:r>
      <w:r w:rsidRPr="00345597">
        <w:rPr>
          <w:rFonts w:ascii="Calibri" w:hAnsi="Calibri" w:cs="Calibri"/>
          <w:sz w:val="24"/>
          <w:szCs w:val="24"/>
        </w:rPr>
        <w:t xml:space="preserve"> </w:t>
      </w:r>
      <w:r w:rsidR="00363928" w:rsidRPr="00345597">
        <w:rPr>
          <w:rFonts w:ascii="Calibri" w:hAnsi="Calibri" w:cs="Calibri"/>
          <w:sz w:val="24"/>
          <w:szCs w:val="24"/>
        </w:rPr>
        <w:tab/>
      </w:r>
      <w:r w:rsidRPr="00345597">
        <w:rPr>
          <w:rFonts w:ascii="Calibri" w:hAnsi="Calibri" w:cs="Calibri"/>
          <w:sz w:val="24"/>
          <w:szCs w:val="24"/>
        </w:rPr>
        <w:t xml:space="preserve">By the earlier decision of the Supreme Court in </w:t>
      </w:r>
      <w:r w:rsidRPr="00345597">
        <w:rPr>
          <w:rFonts w:ascii="Calibri" w:hAnsi="Calibri" w:cs="Calibri"/>
          <w:i/>
          <w:iCs/>
          <w:sz w:val="24"/>
          <w:szCs w:val="24"/>
        </w:rPr>
        <w:t xml:space="preserve">Attorney-General of Ondo State v </w:t>
      </w:r>
    </w:p>
    <w:p w14:paraId="51D8223D" w14:textId="77777777" w:rsidR="00363928" w:rsidRPr="00345597" w:rsidRDefault="007B43D0" w:rsidP="00363928">
      <w:pPr>
        <w:pStyle w:val="FootnoteText"/>
        <w:ind w:firstLine="720"/>
        <w:jc w:val="both"/>
        <w:rPr>
          <w:rFonts w:ascii="Calibri" w:hAnsi="Calibri" w:cs="Calibri"/>
          <w:sz w:val="24"/>
          <w:szCs w:val="24"/>
        </w:rPr>
      </w:pPr>
      <w:r w:rsidRPr="00345597">
        <w:rPr>
          <w:rFonts w:ascii="Calibri" w:hAnsi="Calibri" w:cs="Calibri"/>
          <w:i/>
          <w:iCs/>
          <w:sz w:val="24"/>
          <w:szCs w:val="24"/>
        </w:rPr>
        <w:t xml:space="preserve">Attorney-General of the Federation and 35 Ors. </w:t>
      </w:r>
      <w:r w:rsidRPr="00345597">
        <w:rPr>
          <w:rFonts w:ascii="Calibri" w:hAnsi="Calibri" w:cs="Calibri"/>
          <w:sz w:val="24"/>
          <w:szCs w:val="24"/>
        </w:rPr>
        <w:t xml:space="preserve">(2002) NWLR (Pt. 772) 222 @385, </w:t>
      </w:r>
    </w:p>
    <w:p w14:paraId="67EC8546" w14:textId="77777777" w:rsidR="00363928" w:rsidRPr="00345597" w:rsidRDefault="007B43D0" w:rsidP="00363928">
      <w:pPr>
        <w:pStyle w:val="FootnoteText"/>
        <w:ind w:firstLine="720"/>
        <w:jc w:val="both"/>
        <w:rPr>
          <w:rFonts w:ascii="Calibri" w:hAnsi="Calibri" w:cs="Calibri"/>
          <w:sz w:val="24"/>
          <w:szCs w:val="24"/>
        </w:rPr>
      </w:pPr>
      <w:r w:rsidRPr="00345597">
        <w:rPr>
          <w:rFonts w:ascii="Calibri" w:hAnsi="Calibri" w:cs="Calibri"/>
          <w:sz w:val="24"/>
          <w:szCs w:val="24"/>
        </w:rPr>
        <w:t xml:space="preserve">suffice to state that constitutional provisions did not specifically list corruption on </w:t>
      </w:r>
    </w:p>
    <w:p w14:paraId="5D4F9A7E" w14:textId="77777777" w:rsidR="00363928" w:rsidRPr="00345597" w:rsidRDefault="007B43D0" w:rsidP="00363928">
      <w:pPr>
        <w:pStyle w:val="FootnoteText"/>
        <w:ind w:firstLine="720"/>
        <w:jc w:val="both"/>
        <w:rPr>
          <w:rFonts w:ascii="Calibri" w:hAnsi="Calibri" w:cs="Calibri"/>
          <w:sz w:val="24"/>
          <w:szCs w:val="24"/>
        </w:rPr>
      </w:pPr>
      <w:r w:rsidRPr="00345597">
        <w:rPr>
          <w:rFonts w:ascii="Calibri" w:hAnsi="Calibri" w:cs="Calibri"/>
          <w:sz w:val="24"/>
          <w:szCs w:val="24"/>
        </w:rPr>
        <w:t xml:space="preserve">either the exclusive or concurrent legislative lists. Hence, it would suggest that both </w:t>
      </w:r>
    </w:p>
    <w:p w14:paraId="1C960F91" w14:textId="77777777" w:rsidR="00363928" w:rsidRPr="00345597" w:rsidRDefault="007B43D0" w:rsidP="00363928">
      <w:pPr>
        <w:pStyle w:val="FootnoteText"/>
        <w:ind w:firstLine="720"/>
        <w:jc w:val="both"/>
        <w:rPr>
          <w:rFonts w:ascii="Calibri" w:hAnsi="Calibri" w:cs="Calibri"/>
          <w:sz w:val="24"/>
          <w:szCs w:val="24"/>
        </w:rPr>
      </w:pPr>
      <w:r w:rsidRPr="00345597">
        <w:rPr>
          <w:rFonts w:ascii="Calibri" w:hAnsi="Calibri" w:cs="Calibri"/>
          <w:sz w:val="24"/>
          <w:szCs w:val="24"/>
        </w:rPr>
        <w:t xml:space="preserve">the states and federal government have the constitutional powers to implement </w:t>
      </w:r>
    </w:p>
    <w:p w14:paraId="026AFD33" w14:textId="77777777" w:rsidR="00363928" w:rsidRPr="00345597" w:rsidRDefault="007B43D0" w:rsidP="00363928">
      <w:pPr>
        <w:pStyle w:val="FootnoteText"/>
        <w:ind w:firstLine="720"/>
        <w:jc w:val="both"/>
        <w:rPr>
          <w:rFonts w:ascii="Calibri" w:hAnsi="Calibri" w:cs="Calibri"/>
          <w:sz w:val="24"/>
          <w:szCs w:val="24"/>
        </w:rPr>
      </w:pPr>
      <w:r w:rsidRPr="00345597">
        <w:rPr>
          <w:rFonts w:ascii="Calibri" w:hAnsi="Calibri" w:cs="Calibri"/>
          <w:sz w:val="24"/>
          <w:szCs w:val="24"/>
        </w:rPr>
        <w:t xml:space="preserve">strategies to combat corruption in so far as these actions are not contradictory. It is </w:t>
      </w:r>
    </w:p>
    <w:p w14:paraId="1E94FAA8" w14:textId="77777777" w:rsidR="00363928" w:rsidRPr="00345597" w:rsidRDefault="007B43D0" w:rsidP="00363928">
      <w:pPr>
        <w:pStyle w:val="FootnoteText"/>
        <w:ind w:firstLine="720"/>
        <w:jc w:val="both"/>
        <w:rPr>
          <w:rFonts w:ascii="Calibri" w:hAnsi="Calibri" w:cs="Calibri"/>
          <w:sz w:val="24"/>
          <w:szCs w:val="24"/>
        </w:rPr>
      </w:pPr>
      <w:r w:rsidRPr="00345597">
        <w:rPr>
          <w:rFonts w:ascii="Calibri" w:hAnsi="Calibri" w:cs="Calibri"/>
          <w:sz w:val="24"/>
          <w:szCs w:val="24"/>
        </w:rPr>
        <w:t xml:space="preserve">difficult to construe the provisions of Sec. 15 (5) and items 60, 67-68 of the Second </w:t>
      </w:r>
    </w:p>
    <w:p w14:paraId="208CAA49" w14:textId="77777777" w:rsidR="00363928" w:rsidRPr="00345597" w:rsidRDefault="007B43D0" w:rsidP="00363928">
      <w:pPr>
        <w:pStyle w:val="FootnoteText"/>
        <w:ind w:firstLine="720"/>
        <w:jc w:val="both"/>
        <w:rPr>
          <w:rFonts w:ascii="Calibri" w:hAnsi="Calibri" w:cs="Calibri"/>
          <w:sz w:val="24"/>
          <w:szCs w:val="24"/>
        </w:rPr>
      </w:pPr>
      <w:r w:rsidRPr="00345597">
        <w:rPr>
          <w:rFonts w:ascii="Calibri" w:hAnsi="Calibri" w:cs="Calibri"/>
          <w:sz w:val="24"/>
          <w:szCs w:val="24"/>
        </w:rPr>
        <w:t xml:space="preserve">Schedule Part I of the constitution, under the exclusive list as bringing corruption </w:t>
      </w:r>
    </w:p>
    <w:p w14:paraId="32845E18" w14:textId="77777777" w:rsidR="00363928" w:rsidRPr="00345597" w:rsidRDefault="007B43D0" w:rsidP="00363928">
      <w:pPr>
        <w:pStyle w:val="FootnoteText"/>
        <w:ind w:firstLine="720"/>
        <w:jc w:val="both"/>
        <w:rPr>
          <w:rFonts w:ascii="Calibri" w:hAnsi="Calibri" w:cs="Calibri"/>
          <w:sz w:val="24"/>
          <w:szCs w:val="24"/>
        </w:rPr>
      </w:pPr>
      <w:r w:rsidRPr="00345597">
        <w:rPr>
          <w:rFonts w:ascii="Calibri" w:hAnsi="Calibri" w:cs="Calibri"/>
          <w:sz w:val="24"/>
          <w:szCs w:val="24"/>
        </w:rPr>
        <w:t xml:space="preserve">matters within the exclusive legislative competence of the federal government when </w:t>
      </w:r>
    </w:p>
    <w:p w14:paraId="6624DA14" w14:textId="77777777" w:rsidR="00363928" w:rsidRPr="00345597" w:rsidRDefault="007B43D0" w:rsidP="00363928">
      <w:pPr>
        <w:pStyle w:val="FootnoteText"/>
        <w:ind w:firstLine="720"/>
        <w:jc w:val="both"/>
        <w:rPr>
          <w:rFonts w:ascii="Calibri" w:hAnsi="Calibri" w:cs="Calibri"/>
          <w:sz w:val="24"/>
          <w:szCs w:val="24"/>
        </w:rPr>
      </w:pPr>
      <w:r w:rsidRPr="00345597">
        <w:rPr>
          <w:rFonts w:ascii="Calibri" w:hAnsi="Calibri" w:cs="Calibri"/>
          <w:sz w:val="24"/>
          <w:szCs w:val="24"/>
        </w:rPr>
        <w:t xml:space="preserve">it is clear that both the state and federal government have legislative powers over </w:t>
      </w:r>
    </w:p>
    <w:p w14:paraId="5814FA8A" w14:textId="77777777" w:rsidR="00363928" w:rsidRPr="00345597" w:rsidRDefault="007B43D0" w:rsidP="00363928">
      <w:pPr>
        <w:pStyle w:val="FootnoteText"/>
        <w:ind w:firstLine="720"/>
        <w:jc w:val="both"/>
        <w:rPr>
          <w:rFonts w:ascii="Calibri" w:hAnsi="Calibri" w:cs="Calibri"/>
          <w:sz w:val="24"/>
          <w:szCs w:val="24"/>
        </w:rPr>
      </w:pPr>
      <w:r w:rsidRPr="00345597">
        <w:rPr>
          <w:rFonts w:ascii="Calibri" w:hAnsi="Calibri" w:cs="Calibri"/>
          <w:sz w:val="24"/>
          <w:szCs w:val="24"/>
        </w:rPr>
        <w:t xml:space="preserve">crimes generally. Thus, while the federal government may validly enact laws on </w:t>
      </w:r>
    </w:p>
    <w:p w14:paraId="1D9F3E2C" w14:textId="77777777" w:rsidR="00363928" w:rsidRPr="00345597" w:rsidRDefault="007B43D0" w:rsidP="00363928">
      <w:pPr>
        <w:pStyle w:val="FootnoteText"/>
        <w:ind w:firstLine="720"/>
        <w:jc w:val="both"/>
        <w:rPr>
          <w:rFonts w:ascii="Calibri" w:hAnsi="Calibri" w:cs="Calibri"/>
          <w:sz w:val="24"/>
          <w:szCs w:val="24"/>
        </w:rPr>
      </w:pPr>
      <w:r w:rsidRPr="00345597">
        <w:rPr>
          <w:rFonts w:ascii="Calibri" w:hAnsi="Calibri" w:cs="Calibri"/>
          <w:sz w:val="24"/>
          <w:szCs w:val="24"/>
        </w:rPr>
        <w:t xml:space="preserve">corruption matters, states are not constitutionally excluded from doing the same, </w:t>
      </w:r>
    </w:p>
    <w:p w14:paraId="6488FC98" w14:textId="77777777" w:rsidR="00363928" w:rsidRPr="00345597" w:rsidRDefault="007B43D0" w:rsidP="00363928">
      <w:pPr>
        <w:pStyle w:val="FootnoteText"/>
        <w:ind w:firstLine="720"/>
        <w:jc w:val="both"/>
        <w:rPr>
          <w:rFonts w:ascii="Calibri" w:hAnsi="Calibri" w:cs="Calibri"/>
          <w:sz w:val="24"/>
          <w:szCs w:val="24"/>
        </w:rPr>
      </w:pPr>
      <w:r w:rsidRPr="00345597">
        <w:rPr>
          <w:rFonts w:ascii="Calibri" w:hAnsi="Calibri" w:cs="Calibri"/>
          <w:sz w:val="24"/>
          <w:szCs w:val="24"/>
        </w:rPr>
        <w:t xml:space="preserve">provided the constitutional principle of covering the field as expounded in sec. 4 (5) </w:t>
      </w:r>
    </w:p>
    <w:p w14:paraId="5932A16E" w14:textId="0120DB48" w:rsidR="007B43D0" w:rsidRPr="00345597" w:rsidRDefault="007B43D0" w:rsidP="00363928">
      <w:pPr>
        <w:pStyle w:val="FootnoteText"/>
        <w:ind w:firstLine="720"/>
        <w:jc w:val="both"/>
        <w:rPr>
          <w:rFonts w:ascii="Calibri" w:hAnsi="Calibri" w:cs="Calibri"/>
          <w:sz w:val="24"/>
          <w:szCs w:val="24"/>
          <w:lang w:val="en-US"/>
        </w:rPr>
      </w:pPr>
      <w:r w:rsidRPr="00345597">
        <w:rPr>
          <w:rFonts w:ascii="Calibri" w:hAnsi="Calibri" w:cs="Calibri"/>
          <w:sz w:val="24"/>
          <w:szCs w:val="24"/>
        </w:rPr>
        <w:t xml:space="preserve">of the constitution is not violated. </w:t>
      </w:r>
    </w:p>
  </w:footnote>
  <w:footnote w:id="46">
    <w:p w14:paraId="202BCB96" w14:textId="77777777" w:rsidR="00363928" w:rsidRPr="00345597" w:rsidRDefault="007B43D0" w:rsidP="007B43D0">
      <w:pPr>
        <w:pStyle w:val="FootnoteText"/>
        <w:jc w:val="both"/>
        <w:rPr>
          <w:rFonts w:ascii="Calibri" w:hAnsi="Calibri" w:cs="Calibri"/>
          <w:sz w:val="24"/>
          <w:szCs w:val="24"/>
          <w:lang w:val="en-US"/>
        </w:rPr>
      </w:pPr>
      <w:r w:rsidRPr="00345597">
        <w:rPr>
          <w:rStyle w:val="FootnoteReference"/>
          <w:rFonts w:ascii="Calibri" w:hAnsi="Calibri" w:cs="Calibri"/>
          <w:sz w:val="24"/>
          <w:szCs w:val="24"/>
          <w:vertAlign w:val="baseline"/>
        </w:rPr>
        <w:footnoteRef/>
      </w:r>
      <w:r w:rsidRPr="00345597">
        <w:rPr>
          <w:rFonts w:ascii="Calibri" w:hAnsi="Calibri" w:cs="Calibri"/>
          <w:sz w:val="24"/>
          <w:szCs w:val="24"/>
        </w:rPr>
        <w:t xml:space="preserve"> </w:t>
      </w:r>
      <w:r w:rsidR="00363928" w:rsidRPr="00345597">
        <w:rPr>
          <w:rFonts w:ascii="Calibri" w:hAnsi="Calibri" w:cs="Calibri"/>
          <w:sz w:val="24"/>
          <w:szCs w:val="24"/>
        </w:rPr>
        <w:tab/>
      </w:r>
      <w:r w:rsidRPr="00345597">
        <w:rPr>
          <w:rFonts w:ascii="Calibri" w:hAnsi="Calibri" w:cs="Calibri"/>
          <w:sz w:val="24"/>
          <w:szCs w:val="24"/>
          <w:lang w:val="en-US"/>
        </w:rPr>
        <w:t xml:space="preserve">In 2023, Kogi States joined with some other states of the federation instituted a suit </w:t>
      </w:r>
    </w:p>
    <w:p w14:paraId="5759BC4A" w14:textId="4B2E0D43" w:rsidR="007B43D0" w:rsidRPr="00345597" w:rsidRDefault="007B43D0" w:rsidP="00234534">
      <w:pPr>
        <w:pStyle w:val="FootnoteText"/>
        <w:ind w:left="720"/>
        <w:rPr>
          <w:rFonts w:ascii="Calibri" w:hAnsi="Calibri" w:cs="Calibri"/>
          <w:sz w:val="24"/>
          <w:szCs w:val="24"/>
          <w:lang w:val="en-US"/>
        </w:rPr>
      </w:pPr>
      <w:r w:rsidRPr="00345597">
        <w:rPr>
          <w:rFonts w:ascii="Calibri" w:hAnsi="Calibri" w:cs="Calibri"/>
          <w:sz w:val="24"/>
          <w:szCs w:val="24"/>
          <w:lang w:val="en-US"/>
        </w:rPr>
        <w:t>challenging the constitutionality of the establishment Act of the EFCC among other issues. Deborah Musa ‘</w:t>
      </w:r>
      <w:proofErr w:type="spellStart"/>
      <w:r w:rsidRPr="00345597">
        <w:rPr>
          <w:rFonts w:ascii="Calibri" w:hAnsi="Calibri" w:cs="Calibri"/>
          <w:sz w:val="24"/>
          <w:szCs w:val="24"/>
          <w:lang w:val="en-US"/>
        </w:rPr>
        <w:t>S’Court</w:t>
      </w:r>
      <w:proofErr w:type="spellEnd"/>
      <w:r w:rsidRPr="00345597">
        <w:rPr>
          <w:rFonts w:ascii="Calibri" w:hAnsi="Calibri" w:cs="Calibri"/>
          <w:sz w:val="24"/>
          <w:szCs w:val="24"/>
          <w:lang w:val="en-US"/>
        </w:rPr>
        <w:t xml:space="preserve"> hears 16 states suit challenging EFCC legality’ </w:t>
      </w:r>
      <w:r w:rsidRPr="00345597">
        <w:rPr>
          <w:rFonts w:ascii="Calibri" w:hAnsi="Calibri" w:cs="Calibri"/>
          <w:i/>
          <w:iCs/>
          <w:sz w:val="24"/>
          <w:szCs w:val="24"/>
          <w:lang w:val="en-US"/>
        </w:rPr>
        <w:t xml:space="preserve">The Punch </w:t>
      </w:r>
      <w:r w:rsidRPr="00345597">
        <w:rPr>
          <w:rFonts w:ascii="Calibri" w:hAnsi="Calibri" w:cs="Calibri"/>
          <w:sz w:val="24"/>
          <w:szCs w:val="24"/>
          <w:lang w:val="en-US"/>
        </w:rPr>
        <w:t>(9 October, 2024) &lt;</w:t>
      </w:r>
      <w:hyperlink r:id="rId14" w:history="1">
        <w:r w:rsidRPr="00345597">
          <w:rPr>
            <w:rStyle w:val="Hyperlink"/>
            <w:rFonts w:ascii="Calibri" w:hAnsi="Calibri" w:cs="Calibri"/>
            <w:color w:val="auto"/>
            <w:sz w:val="24"/>
            <w:szCs w:val="24"/>
            <w:u w:val="none"/>
            <w:lang w:val="en-US"/>
          </w:rPr>
          <w:t>https://punchng.com/scourt-hears-16-states-suit-challenging-efcc-legality-oct-22/</w:t>
        </w:r>
      </w:hyperlink>
      <w:r w:rsidRPr="00345597">
        <w:rPr>
          <w:rFonts w:ascii="Calibri" w:hAnsi="Calibri" w:cs="Calibri"/>
          <w:sz w:val="24"/>
          <w:szCs w:val="24"/>
          <w:lang w:val="en-US"/>
        </w:rPr>
        <w:t xml:space="preserve">&gt;. Accessed 17 October 2024. Earlier the Court had dismissed a case against the EFCC by the Delta State government challenging the validity of its powers to probe into state spending. This Day, ‘As court strengthens EFCC, ICPC’s powers’ </w:t>
      </w:r>
      <w:proofErr w:type="spellStart"/>
      <w:r w:rsidRPr="00345597">
        <w:rPr>
          <w:rFonts w:ascii="Calibri" w:hAnsi="Calibri" w:cs="Calibri"/>
          <w:i/>
          <w:iCs/>
          <w:sz w:val="24"/>
          <w:szCs w:val="24"/>
          <w:lang w:val="en-US"/>
        </w:rPr>
        <w:t>ThisDay</w:t>
      </w:r>
      <w:proofErr w:type="spellEnd"/>
      <w:r w:rsidRPr="00345597">
        <w:rPr>
          <w:rFonts w:ascii="Calibri" w:hAnsi="Calibri" w:cs="Calibri"/>
          <w:i/>
          <w:iCs/>
          <w:sz w:val="24"/>
          <w:szCs w:val="24"/>
          <w:lang w:val="en-US"/>
        </w:rPr>
        <w:t xml:space="preserve"> </w:t>
      </w:r>
      <w:r w:rsidRPr="00345597">
        <w:rPr>
          <w:rFonts w:ascii="Calibri" w:hAnsi="Calibri" w:cs="Calibri"/>
          <w:sz w:val="24"/>
          <w:szCs w:val="24"/>
          <w:lang w:val="en-US"/>
        </w:rPr>
        <w:t>(12 May, 2024). &lt;</w:t>
      </w:r>
      <w:hyperlink r:id="rId15" w:history="1">
        <w:r w:rsidRPr="00345597">
          <w:rPr>
            <w:rStyle w:val="Hyperlink"/>
            <w:rFonts w:ascii="Calibri" w:hAnsi="Calibri" w:cs="Calibri"/>
            <w:color w:val="auto"/>
            <w:sz w:val="24"/>
            <w:szCs w:val="24"/>
            <w:u w:val="none"/>
            <w:lang w:val="en-US"/>
          </w:rPr>
          <w:t>https://www.thisdaylive.com/index.php/2024/05/12/as-court-strengthens-efcc-icpcs-powers/</w:t>
        </w:r>
      </w:hyperlink>
      <w:r w:rsidRPr="00345597">
        <w:rPr>
          <w:rFonts w:ascii="Calibri" w:hAnsi="Calibri" w:cs="Calibri"/>
          <w:sz w:val="24"/>
          <w:szCs w:val="24"/>
          <w:lang w:val="en-US"/>
        </w:rPr>
        <w:t xml:space="preserve">&gt; 10 September, 2024. In </w:t>
      </w:r>
      <w:r w:rsidRPr="00345597">
        <w:rPr>
          <w:rFonts w:ascii="Calibri" w:hAnsi="Calibri" w:cs="Calibri"/>
          <w:i/>
          <w:iCs/>
          <w:sz w:val="24"/>
          <w:szCs w:val="24"/>
        </w:rPr>
        <w:t xml:space="preserve">Attorney-General of Ondo State v Attorney-General of the Federation and 35 Ors. </w:t>
      </w:r>
      <w:r w:rsidRPr="00345597">
        <w:rPr>
          <w:rFonts w:ascii="Calibri" w:hAnsi="Calibri" w:cs="Calibri"/>
          <w:sz w:val="24"/>
          <w:szCs w:val="24"/>
        </w:rPr>
        <w:t xml:space="preserve">(2002) NWLR (Pt. 772) 222 @385. The Supreme Court established the constitutional powers of the National Assembly to legislate on corruption matters based on the provisions of sec. 15(5) and 4(2) of the CFRN 1999. Hence, the constitutionality of the establishment of the principal ACAs seemed to have been laid to rest especially the subsequent following the decision of the Supreme in </w:t>
      </w:r>
      <w:proofErr w:type="spellStart"/>
      <w:r w:rsidRPr="00345597">
        <w:rPr>
          <w:rFonts w:ascii="Calibri" w:hAnsi="Calibri" w:cs="Calibri"/>
          <w:i/>
          <w:iCs/>
          <w:sz w:val="24"/>
          <w:szCs w:val="24"/>
        </w:rPr>
        <w:t>Olafisoye</w:t>
      </w:r>
      <w:proofErr w:type="spellEnd"/>
      <w:r w:rsidRPr="00345597">
        <w:rPr>
          <w:rFonts w:ascii="Calibri" w:hAnsi="Calibri" w:cs="Calibri"/>
          <w:i/>
          <w:iCs/>
          <w:sz w:val="24"/>
          <w:szCs w:val="24"/>
        </w:rPr>
        <w:t xml:space="preserve"> v. FRN</w:t>
      </w:r>
      <w:r w:rsidRPr="00345597">
        <w:rPr>
          <w:rFonts w:ascii="Calibri" w:hAnsi="Calibri" w:cs="Calibri"/>
          <w:sz w:val="24"/>
          <w:szCs w:val="24"/>
        </w:rPr>
        <w:t xml:space="preserve"> (2004) 4 NWLR (Pt. 864) 580.</w:t>
      </w:r>
    </w:p>
  </w:footnote>
  <w:footnote w:id="47">
    <w:p w14:paraId="2D17A3D6" w14:textId="77777777" w:rsidR="00363928" w:rsidRPr="00345597" w:rsidRDefault="007B43D0" w:rsidP="007B43D0">
      <w:pPr>
        <w:pStyle w:val="FootnoteText"/>
        <w:jc w:val="both"/>
        <w:rPr>
          <w:rFonts w:ascii="Calibri" w:hAnsi="Calibri" w:cs="Calibri"/>
          <w:sz w:val="24"/>
          <w:szCs w:val="24"/>
        </w:rPr>
      </w:pPr>
      <w:r w:rsidRPr="00345597">
        <w:rPr>
          <w:rStyle w:val="FootnoteReference"/>
          <w:rFonts w:ascii="Calibri" w:hAnsi="Calibri" w:cs="Calibri"/>
          <w:sz w:val="24"/>
          <w:szCs w:val="24"/>
          <w:vertAlign w:val="baseline"/>
        </w:rPr>
        <w:footnoteRef/>
      </w:r>
      <w:r w:rsidRPr="00345597">
        <w:rPr>
          <w:rFonts w:ascii="Calibri" w:hAnsi="Calibri" w:cs="Calibri"/>
          <w:sz w:val="24"/>
          <w:szCs w:val="24"/>
        </w:rPr>
        <w:t xml:space="preserve"> </w:t>
      </w:r>
      <w:r w:rsidR="00363928" w:rsidRPr="00345597">
        <w:rPr>
          <w:rFonts w:ascii="Calibri" w:hAnsi="Calibri" w:cs="Calibri"/>
          <w:sz w:val="24"/>
          <w:szCs w:val="24"/>
        </w:rPr>
        <w:tab/>
      </w:r>
      <w:r w:rsidRPr="00345597">
        <w:rPr>
          <w:rFonts w:ascii="Calibri" w:hAnsi="Calibri" w:cs="Calibri"/>
          <w:sz w:val="24"/>
          <w:szCs w:val="24"/>
        </w:rPr>
        <w:t xml:space="preserve">The phrase was first coined by Javier Corrales when he described Hugo </w:t>
      </w:r>
      <w:proofErr w:type="spellStart"/>
      <w:r w:rsidRPr="00345597">
        <w:rPr>
          <w:rFonts w:ascii="Calibri" w:hAnsi="Calibri" w:cs="Calibri"/>
          <w:sz w:val="24"/>
          <w:szCs w:val="24"/>
        </w:rPr>
        <w:t>Chavele’s</w:t>
      </w:r>
      <w:proofErr w:type="spellEnd"/>
      <w:r w:rsidRPr="00345597">
        <w:rPr>
          <w:rFonts w:ascii="Calibri" w:hAnsi="Calibri" w:cs="Calibri"/>
          <w:sz w:val="24"/>
          <w:szCs w:val="24"/>
        </w:rPr>
        <w:t xml:space="preserve"> rule </w:t>
      </w:r>
    </w:p>
    <w:p w14:paraId="1DA11B47" w14:textId="77777777" w:rsidR="00363928" w:rsidRPr="00345597" w:rsidRDefault="007B43D0" w:rsidP="00363928">
      <w:pPr>
        <w:pStyle w:val="FootnoteText"/>
        <w:ind w:firstLine="720"/>
        <w:jc w:val="both"/>
        <w:rPr>
          <w:rFonts w:ascii="Calibri" w:hAnsi="Calibri" w:cs="Calibri"/>
          <w:sz w:val="24"/>
          <w:szCs w:val="24"/>
        </w:rPr>
      </w:pPr>
      <w:r w:rsidRPr="00345597">
        <w:rPr>
          <w:rFonts w:ascii="Calibri" w:hAnsi="Calibri" w:cs="Calibri"/>
          <w:sz w:val="24"/>
          <w:szCs w:val="24"/>
        </w:rPr>
        <w:t>in Venezuela.</w:t>
      </w:r>
      <w:r w:rsidRPr="00345597">
        <w:rPr>
          <w:rFonts w:ascii="Calibri" w:hAnsi="Calibri" w:cs="Calibri"/>
          <w:sz w:val="24"/>
          <w:szCs w:val="24"/>
          <w:shd w:val="clear" w:color="auto" w:fill="FFFFFF"/>
        </w:rPr>
        <w:t xml:space="preserve"> Javier</w:t>
      </w:r>
      <w:r w:rsidRPr="00345597">
        <w:rPr>
          <w:rFonts w:ascii="Calibri" w:hAnsi="Calibri" w:cs="Calibri"/>
          <w:sz w:val="24"/>
          <w:szCs w:val="24"/>
        </w:rPr>
        <w:t xml:space="preserve"> Corrales, ‘The authoritarian resurgence: autocratic legalism in </w:t>
      </w:r>
    </w:p>
    <w:p w14:paraId="289959B9" w14:textId="7EF52533" w:rsidR="007B43D0" w:rsidRPr="00345597" w:rsidRDefault="007B43D0" w:rsidP="00363928">
      <w:pPr>
        <w:pStyle w:val="FootnoteText"/>
        <w:ind w:firstLine="720"/>
        <w:jc w:val="both"/>
        <w:rPr>
          <w:rFonts w:ascii="Calibri" w:hAnsi="Calibri" w:cs="Calibri"/>
          <w:sz w:val="24"/>
          <w:szCs w:val="24"/>
          <w:lang w:val="en-US"/>
        </w:rPr>
      </w:pPr>
      <w:r w:rsidRPr="00345597">
        <w:rPr>
          <w:rFonts w:ascii="Calibri" w:hAnsi="Calibri" w:cs="Calibri"/>
          <w:sz w:val="24"/>
          <w:szCs w:val="24"/>
        </w:rPr>
        <w:t>Venezuela’ </w:t>
      </w:r>
      <w:r w:rsidRPr="00345597">
        <w:rPr>
          <w:rFonts w:ascii="Calibri" w:hAnsi="Calibri" w:cs="Calibri"/>
          <w:i/>
          <w:iCs/>
          <w:sz w:val="24"/>
          <w:szCs w:val="24"/>
        </w:rPr>
        <w:t>Journal of Democracy</w:t>
      </w:r>
      <w:r w:rsidRPr="00345597">
        <w:rPr>
          <w:rFonts w:ascii="Calibri" w:hAnsi="Calibri" w:cs="Calibri"/>
          <w:sz w:val="24"/>
          <w:szCs w:val="24"/>
        </w:rPr>
        <w:t xml:space="preserve"> (2015) 26</w:t>
      </w:r>
      <w:r w:rsidRPr="00345597">
        <w:rPr>
          <w:rFonts w:ascii="Calibri" w:hAnsi="Calibri" w:cs="Calibri"/>
          <w:i/>
          <w:iCs/>
          <w:sz w:val="24"/>
          <w:szCs w:val="24"/>
        </w:rPr>
        <w:t xml:space="preserve"> </w:t>
      </w:r>
      <w:r w:rsidRPr="00345597">
        <w:rPr>
          <w:rFonts w:ascii="Calibri" w:hAnsi="Calibri" w:cs="Calibri"/>
          <w:sz w:val="24"/>
          <w:szCs w:val="24"/>
        </w:rPr>
        <w:t>(2), 37-51, 37-38.</w:t>
      </w:r>
    </w:p>
  </w:footnote>
  <w:footnote w:id="48">
    <w:p w14:paraId="52C35926" w14:textId="77777777" w:rsidR="00363928" w:rsidRPr="00345597" w:rsidRDefault="007B43D0" w:rsidP="007B43D0">
      <w:pPr>
        <w:pStyle w:val="FootnoteText"/>
        <w:jc w:val="both"/>
        <w:rPr>
          <w:rFonts w:ascii="Calibri" w:hAnsi="Calibri" w:cs="Calibri"/>
          <w:sz w:val="24"/>
          <w:szCs w:val="24"/>
        </w:rPr>
      </w:pPr>
      <w:r w:rsidRPr="00345597">
        <w:rPr>
          <w:rStyle w:val="FootnoteReference"/>
          <w:rFonts w:ascii="Calibri" w:hAnsi="Calibri" w:cs="Calibri"/>
          <w:sz w:val="24"/>
          <w:szCs w:val="24"/>
          <w:vertAlign w:val="baseline"/>
        </w:rPr>
        <w:footnoteRef/>
      </w:r>
      <w:r w:rsidRPr="00345597">
        <w:rPr>
          <w:rFonts w:ascii="Calibri" w:hAnsi="Calibri" w:cs="Calibri"/>
          <w:sz w:val="24"/>
          <w:szCs w:val="24"/>
        </w:rPr>
        <w:t xml:space="preserve"> </w:t>
      </w:r>
      <w:r w:rsidR="00363928" w:rsidRPr="00345597">
        <w:rPr>
          <w:rFonts w:ascii="Calibri" w:hAnsi="Calibri" w:cs="Calibri"/>
          <w:sz w:val="24"/>
          <w:szCs w:val="24"/>
        </w:rPr>
        <w:tab/>
      </w:r>
      <w:r w:rsidRPr="00345597">
        <w:rPr>
          <w:rFonts w:ascii="Calibri" w:hAnsi="Calibri" w:cs="Calibri"/>
          <w:sz w:val="24"/>
          <w:szCs w:val="24"/>
          <w:lang w:val="en-US"/>
        </w:rPr>
        <w:t xml:space="preserve">Kim Lane </w:t>
      </w:r>
      <w:proofErr w:type="spellStart"/>
      <w:r w:rsidRPr="00345597">
        <w:rPr>
          <w:rFonts w:ascii="Calibri" w:hAnsi="Calibri" w:cs="Calibri"/>
          <w:sz w:val="24"/>
          <w:szCs w:val="24"/>
        </w:rPr>
        <w:t>Scheppele</w:t>
      </w:r>
      <w:proofErr w:type="spellEnd"/>
      <w:r w:rsidRPr="00345597">
        <w:rPr>
          <w:rFonts w:ascii="Calibri" w:hAnsi="Calibri" w:cs="Calibri"/>
          <w:sz w:val="24"/>
          <w:szCs w:val="24"/>
        </w:rPr>
        <w:t>, ‘Autocratic legalism’ </w:t>
      </w:r>
      <w:r w:rsidRPr="00345597">
        <w:rPr>
          <w:rFonts w:ascii="Calibri" w:hAnsi="Calibri" w:cs="Calibri"/>
          <w:i/>
          <w:iCs/>
          <w:sz w:val="24"/>
          <w:szCs w:val="24"/>
        </w:rPr>
        <w:t>The University of Chicago Law Review</w:t>
      </w:r>
      <w:r w:rsidRPr="00345597">
        <w:rPr>
          <w:rFonts w:ascii="Calibri" w:hAnsi="Calibri" w:cs="Calibri"/>
          <w:sz w:val="24"/>
          <w:szCs w:val="24"/>
        </w:rPr>
        <w:t xml:space="preserve"> </w:t>
      </w:r>
    </w:p>
    <w:p w14:paraId="1E13C4D5" w14:textId="443C277A" w:rsidR="007B43D0" w:rsidRPr="00345597" w:rsidRDefault="007B43D0" w:rsidP="00363928">
      <w:pPr>
        <w:pStyle w:val="FootnoteText"/>
        <w:ind w:firstLine="720"/>
        <w:jc w:val="both"/>
        <w:rPr>
          <w:rFonts w:ascii="Calibri" w:hAnsi="Calibri" w:cs="Calibri"/>
          <w:sz w:val="24"/>
          <w:szCs w:val="24"/>
          <w:lang w:val="en-US"/>
        </w:rPr>
      </w:pPr>
      <w:r w:rsidRPr="00345597">
        <w:rPr>
          <w:rFonts w:ascii="Calibri" w:hAnsi="Calibri" w:cs="Calibri"/>
          <w:sz w:val="24"/>
          <w:szCs w:val="24"/>
        </w:rPr>
        <w:t>(2018) 85 (2), 545-584.</w:t>
      </w:r>
    </w:p>
  </w:footnote>
  <w:footnote w:id="49">
    <w:p w14:paraId="1CC2E5D9" w14:textId="77777777" w:rsidR="00363928" w:rsidRPr="00345597" w:rsidRDefault="007B43D0" w:rsidP="007B43D0">
      <w:pPr>
        <w:pStyle w:val="FootnoteText"/>
        <w:jc w:val="both"/>
        <w:rPr>
          <w:rFonts w:ascii="Calibri" w:hAnsi="Calibri" w:cs="Calibri"/>
          <w:sz w:val="24"/>
          <w:szCs w:val="24"/>
        </w:rPr>
      </w:pPr>
      <w:r w:rsidRPr="00345597">
        <w:rPr>
          <w:rStyle w:val="FootnoteReference"/>
          <w:rFonts w:ascii="Calibri" w:hAnsi="Calibri" w:cs="Calibri"/>
          <w:sz w:val="24"/>
          <w:szCs w:val="24"/>
          <w:vertAlign w:val="baseline"/>
        </w:rPr>
        <w:footnoteRef/>
      </w:r>
      <w:r w:rsidRPr="00345597">
        <w:rPr>
          <w:rFonts w:ascii="Calibri" w:hAnsi="Calibri" w:cs="Calibri"/>
          <w:sz w:val="24"/>
          <w:szCs w:val="24"/>
        </w:rPr>
        <w:t xml:space="preserve"> </w:t>
      </w:r>
      <w:r w:rsidR="00363928" w:rsidRPr="00345597">
        <w:rPr>
          <w:rFonts w:ascii="Calibri" w:hAnsi="Calibri" w:cs="Calibri"/>
          <w:sz w:val="24"/>
          <w:szCs w:val="24"/>
        </w:rPr>
        <w:tab/>
      </w:r>
      <w:r w:rsidRPr="00345597">
        <w:rPr>
          <w:rFonts w:ascii="Calibri" w:hAnsi="Calibri" w:cs="Calibri"/>
          <w:sz w:val="24"/>
          <w:szCs w:val="24"/>
        </w:rPr>
        <w:t xml:space="preserve">Heba M. Khalil, ‘“This Country has Laws”: Legalism as a Tool of Entrenching Autocracy </w:t>
      </w:r>
    </w:p>
    <w:p w14:paraId="7772E2D0" w14:textId="4BBC9592" w:rsidR="007B43D0" w:rsidRPr="00345597" w:rsidRDefault="007B43D0" w:rsidP="00363928">
      <w:pPr>
        <w:pStyle w:val="FootnoteText"/>
        <w:ind w:firstLine="720"/>
        <w:jc w:val="both"/>
        <w:rPr>
          <w:rFonts w:ascii="Calibri" w:hAnsi="Calibri" w:cs="Calibri"/>
          <w:sz w:val="24"/>
          <w:szCs w:val="24"/>
          <w:lang w:val="en-US"/>
        </w:rPr>
      </w:pPr>
      <w:r w:rsidRPr="00345597">
        <w:rPr>
          <w:rFonts w:ascii="Calibri" w:hAnsi="Calibri" w:cs="Calibri"/>
          <w:sz w:val="24"/>
          <w:szCs w:val="24"/>
        </w:rPr>
        <w:t>in Egypt’ </w:t>
      </w:r>
      <w:r w:rsidRPr="00345597">
        <w:rPr>
          <w:rFonts w:ascii="Calibri" w:hAnsi="Calibri" w:cs="Calibri"/>
          <w:i/>
          <w:iCs/>
          <w:sz w:val="24"/>
          <w:szCs w:val="24"/>
        </w:rPr>
        <w:t>American Behavioral Scientist</w:t>
      </w:r>
      <w:r w:rsidRPr="00345597">
        <w:rPr>
          <w:rFonts w:ascii="Calibri" w:hAnsi="Calibri" w:cs="Calibri"/>
          <w:sz w:val="24"/>
          <w:szCs w:val="24"/>
        </w:rPr>
        <w:t> (2024) 68 (12), 1597-1695.</w:t>
      </w:r>
    </w:p>
  </w:footnote>
  <w:footnote w:id="50">
    <w:p w14:paraId="1EDBFA1D" w14:textId="77777777" w:rsidR="00363928" w:rsidRPr="00345597" w:rsidRDefault="007B43D0" w:rsidP="007B43D0">
      <w:pPr>
        <w:jc w:val="both"/>
        <w:rPr>
          <w:rFonts w:ascii="Calibri" w:hAnsi="Calibri" w:cs="Calibri"/>
        </w:rPr>
      </w:pPr>
      <w:r w:rsidRPr="00345597">
        <w:rPr>
          <w:rStyle w:val="FootnoteReference"/>
          <w:rFonts w:ascii="Calibri" w:hAnsi="Calibri" w:cs="Calibri"/>
          <w:vertAlign w:val="baseline"/>
        </w:rPr>
        <w:footnoteRef/>
      </w:r>
      <w:r w:rsidRPr="00345597">
        <w:rPr>
          <w:rFonts w:ascii="Calibri" w:hAnsi="Calibri" w:cs="Calibri"/>
        </w:rPr>
        <w:t xml:space="preserve"> </w:t>
      </w:r>
      <w:r w:rsidR="00363928" w:rsidRPr="00345597">
        <w:rPr>
          <w:rFonts w:ascii="Calibri" w:hAnsi="Calibri" w:cs="Calibri"/>
        </w:rPr>
        <w:tab/>
      </w:r>
      <w:proofErr w:type="spellStart"/>
      <w:r w:rsidRPr="00345597">
        <w:rPr>
          <w:rFonts w:ascii="Calibri" w:hAnsi="Calibri" w:cs="Calibri"/>
        </w:rPr>
        <w:t>Warizi</w:t>
      </w:r>
      <w:proofErr w:type="spellEnd"/>
      <w:r w:rsidRPr="00345597">
        <w:rPr>
          <w:rFonts w:ascii="Calibri" w:hAnsi="Calibri" w:cs="Calibri"/>
        </w:rPr>
        <w:t xml:space="preserve"> sees anti-corruption agencies as separate independent and permanent body </w:t>
      </w:r>
    </w:p>
    <w:p w14:paraId="24D656A5" w14:textId="77777777" w:rsidR="00363928" w:rsidRPr="00345597" w:rsidRDefault="007B43D0" w:rsidP="00363928">
      <w:pPr>
        <w:ind w:firstLine="720"/>
        <w:jc w:val="both"/>
        <w:rPr>
          <w:rFonts w:ascii="Calibri" w:hAnsi="Calibri" w:cs="Calibri"/>
        </w:rPr>
      </w:pPr>
      <w:r w:rsidRPr="00345597">
        <w:rPr>
          <w:rFonts w:ascii="Calibri" w:hAnsi="Calibri" w:cs="Calibri"/>
        </w:rPr>
        <w:t xml:space="preserve">which provide leadership in core areas. anti-corruption activity. Fatima Waziri, </w:t>
      </w:r>
    </w:p>
    <w:p w14:paraId="5DB00B3E" w14:textId="77777777" w:rsidR="00363928" w:rsidRPr="00345597" w:rsidRDefault="007B43D0" w:rsidP="00363928">
      <w:pPr>
        <w:ind w:firstLine="720"/>
        <w:jc w:val="both"/>
        <w:rPr>
          <w:rFonts w:ascii="Calibri" w:hAnsi="Calibri" w:cs="Calibri"/>
        </w:rPr>
      </w:pPr>
      <w:r w:rsidRPr="00345597">
        <w:rPr>
          <w:rFonts w:ascii="Calibri" w:hAnsi="Calibri" w:cs="Calibri"/>
          <w:i/>
          <w:iCs/>
        </w:rPr>
        <w:t>Strengthening of Anticorruption Commissions and Laws in Nigeria</w:t>
      </w:r>
      <w:r w:rsidRPr="00345597">
        <w:rPr>
          <w:rFonts w:ascii="Calibri" w:hAnsi="Calibri" w:cs="Calibri"/>
        </w:rPr>
        <w:t xml:space="preserve"> (Doctoral </w:t>
      </w:r>
    </w:p>
    <w:p w14:paraId="7AE35547" w14:textId="77777777" w:rsidR="00363928" w:rsidRPr="00345597" w:rsidRDefault="007B43D0" w:rsidP="00363928">
      <w:pPr>
        <w:ind w:firstLine="720"/>
        <w:jc w:val="both"/>
        <w:rPr>
          <w:rFonts w:ascii="Calibri" w:hAnsi="Calibri" w:cs="Calibri"/>
        </w:rPr>
      </w:pPr>
      <w:r w:rsidRPr="00345597">
        <w:rPr>
          <w:rFonts w:ascii="Calibri" w:hAnsi="Calibri" w:cs="Calibri"/>
        </w:rPr>
        <w:t xml:space="preserve">dissertation, University of Pittsburgh 2011), 112. The definition provided by De Sousa </w:t>
      </w:r>
    </w:p>
    <w:p w14:paraId="30E6CBA5" w14:textId="77777777" w:rsidR="00363928" w:rsidRPr="00345597" w:rsidRDefault="007B43D0" w:rsidP="00363928">
      <w:pPr>
        <w:ind w:firstLine="720"/>
        <w:jc w:val="both"/>
        <w:rPr>
          <w:rFonts w:ascii="Calibri" w:hAnsi="Calibri" w:cs="Calibri"/>
        </w:rPr>
      </w:pPr>
      <w:r w:rsidRPr="00345597">
        <w:rPr>
          <w:rFonts w:ascii="Calibri" w:hAnsi="Calibri" w:cs="Calibri"/>
        </w:rPr>
        <w:t xml:space="preserve">is also instructive. Luis de Sousa, ‘Anticorruption Agencies: Between Empowerment </w:t>
      </w:r>
    </w:p>
    <w:p w14:paraId="0D7431B0" w14:textId="7E4B7C26" w:rsidR="007B43D0" w:rsidRPr="00345597" w:rsidRDefault="007B43D0" w:rsidP="00363928">
      <w:pPr>
        <w:ind w:firstLine="720"/>
        <w:jc w:val="both"/>
        <w:rPr>
          <w:rFonts w:ascii="Calibri" w:hAnsi="Calibri" w:cs="Calibri"/>
        </w:rPr>
      </w:pPr>
      <w:r w:rsidRPr="00345597">
        <w:rPr>
          <w:rFonts w:ascii="Calibri" w:hAnsi="Calibri" w:cs="Calibri"/>
        </w:rPr>
        <w:t xml:space="preserve">and Irrelevance’ </w:t>
      </w:r>
      <w:r w:rsidRPr="00345597">
        <w:rPr>
          <w:rFonts w:ascii="Calibri" w:hAnsi="Calibri" w:cs="Calibri"/>
          <w:i/>
        </w:rPr>
        <w:t>Journal of Crime Law and Social Change</w:t>
      </w:r>
      <w:r w:rsidRPr="00345597">
        <w:rPr>
          <w:rFonts w:ascii="Calibri" w:hAnsi="Calibri" w:cs="Calibri"/>
        </w:rPr>
        <w:t xml:space="preserve"> (2010) (53) 5-22, 5.</w:t>
      </w:r>
    </w:p>
  </w:footnote>
  <w:footnote w:id="51">
    <w:p w14:paraId="094DF070" w14:textId="77777777" w:rsidR="00363928" w:rsidRPr="00345597" w:rsidRDefault="007B43D0" w:rsidP="007B43D0">
      <w:pPr>
        <w:jc w:val="both"/>
        <w:rPr>
          <w:rFonts w:ascii="Calibri" w:hAnsi="Calibri" w:cs="Calibri"/>
        </w:rPr>
      </w:pPr>
      <w:r w:rsidRPr="00345597">
        <w:rPr>
          <w:rStyle w:val="FootnoteReference"/>
          <w:rFonts w:ascii="Calibri" w:hAnsi="Calibri" w:cs="Calibri"/>
          <w:vertAlign w:val="baseline"/>
        </w:rPr>
        <w:footnoteRef/>
      </w:r>
      <w:r w:rsidRPr="00345597">
        <w:rPr>
          <w:rFonts w:ascii="Calibri" w:hAnsi="Calibri" w:cs="Calibri"/>
        </w:rPr>
        <w:t xml:space="preserve"> </w:t>
      </w:r>
      <w:r w:rsidR="00363928" w:rsidRPr="00345597">
        <w:rPr>
          <w:rFonts w:ascii="Calibri" w:hAnsi="Calibri" w:cs="Calibri"/>
        </w:rPr>
        <w:tab/>
      </w:r>
      <w:r w:rsidRPr="00345597">
        <w:rPr>
          <w:rFonts w:ascii="Calibri" w:hAnsi="Calibri" w:cs="Calibri"/>
        </w:rPr>
        <w:t xml:space="preserve">Doig et all identify three core functions of anti-corruption agencies. Doig Alan, David </w:t>
      </w:r>
    </w:p>
    <w:p w14:paraId="3D33BD33" w14:textId="77777777" w:rsidR="00363928" w:rsidRPr="00345597" w:rsidRDefault="007B43D0" w:rsidP="00363928">
      <w:pPr>
        <w:ind w:firstLine="720"/>
        <w:jc w:val="both"/>
        <w:rPr>
          <w:rFonts w:ascii="Calibri" w:hAnsi="Calibri" w:cs="Calibri"/>
        </w:rPr>
      </w:pPr>
      <w:r w:rsidRPr="00345597">
        <w:rPr>
          <w:rFonts w:ascii="Calibri" w:hAnsi="Calibri" w:cs="Calibri"/>
        </w:rPr>
        <w:t xml:space="preserve">Watt and Robert Williams, ‘Why Do Developing Country Anticorruption Commissions </w:t>
      </w:r>
    </w:p>
    <w:p w14:paraId="3CBA11BB" w14:textId="77777777" w:rsidR="00363928" w:rsidRPr="00345597" w:rsidRDefault="007B43D0" w:rsidP="00363928">
      <w:pPr>
        <w:ind w:firstLine="720"/>
        <w:jc w:val="both"/>
        <w:rPr>
          <w:rFonts w:ascii="Calibri" w:hAnsi="Calibri" w:cs="Calibri"/>
        </w:rPr>
      </w:pPr>
      <w:r w:rsidRPr="00345597">
        <w:rPr>
          <w:rFonts w:ascii="Calibri" w:hAnsi="Calibri" w:cs="Calibri"/>
        </w:rPr>
        <w:t xml:space="preserve">Fail to Deal with Corruption? Understanding The Three Dilemmas of Organizational </w:t>
      </w:r>
    </w:p>
    <w:p w14:paraId="43D08FFA" w14:textId="77777777" w:rsidR="00363928" w:rsidRPr="00345597" w:rsidRDefault="007B43D0" w:rsidP="00363928">
      <w:pPr>
        <w:ind w:firstLine="720"/>
        <w:jc w:val="both"/>
        <w:rPr>
          <w:rFonts w:ascii="Calibri" w:hAnsi="Calibri" w:cs="Calibri"/>
          <w:i/>
        </w:rPr>
      </w:pPr>
      <w:r w:rsidRPr="00345597">
        <w:rPr>
          <w:rFonts w:ascii="Calibri" w:hAnsi="Calibri" w:cs="Calibri"/>
        </w:rPr>
        <w:t xml:space="preserve">Development, Performance Expectation, and Donor and Government Cycles’ </w:t>
      </w:r>
      <w:r w:rsidRPr="00345597">
        <w:rPr>
          <w:rFonts w:ascii="Calibri" w:hAnsi="Calibri" w:cs="Calibri"/>
          <w:i/>
        </w:rPr>
        <w:t xml:space="preserve">Public </w:t>
      </w:r>
    </w:p>
    <w:p w14:paraId="3DA2E49C" w14:textId="4946FFCF" w:rsidR="007B43D0" w:rsidRPr="00345597" w:rsidRDefault="007B43D0" w:rsidP="00363928">
      <w:pPr>
        <w:ind w:firstLine="720"/>
        <w:jc w:val="both"/>
        <w:rPr>
          <w:rFonts w:ascii="Calibri" w:hAnsi="Calibri" w:cs="Calibri"/>
        </w:rPr>
      </w:pPr>
      <w:r w:rsidRPr="00345597">
        <w:rPr>
          <w:rFonts w:ascii="Calibri" w:hAnsi="Calibri" w:cs="Calibri"/>
          <w:i/>
        </w:rPr>
        <w:t>Administration and Development</w:t>
      </w:r>
      <w:r w:rsidRPr="00345597">
        <w:rPr>
          <w:rFonts w:ascii="Calibri" w:hAnsi="Calibri" w:cs="Calibri"/>
        </w:rPr>
        <w:t xml:space="preserve"> (2007) 27 (3),0 251 – 259. </w:t>
      </w:r>
    </w:p>
  </w:footnote>
  <w:footnote w:id="52">
    <w:p w14:paraId="1A87DB83" w14:textId="77777777" w:rsidR="00363928" w:rsidRPr="00345597" w:rsidRDefault="007B43D0" w:rsidP="007B43D0">
      <w:pPr>
        <w:jc w:val="both"/>
        <w:rPr>
          <w:rFonts w:ascii="Calibri" w:hAnsi="Calibri" w:cs="Calibri"/>
        </w:rPr>
      </w:pPr>
      <w:r w:rsidRPr="00345597">
        <w:rPr>
          <w:rStyle w:val="FootnoteReference"/>
          <w:rFonts w:ascii="Calibri" w:hAnsi="Calibri" w:cs="Calibri"/>
          <w:vertAlign w:val="baseline"/>
        </w:rPr>
        <w:footnoteRef/>
      </w:r>
      <w:r w:rsidRPr="00345597">
        <w:rPr>
          <w:rFonts w:ascii="Calibri" w:hAnsi="Calibri" w:cs="Calibri"/>
        </w:rPr>
        <w:t xml:space="preserve"> </w:t>
      </w:r>
      <w:r w:rsidR="00363928" w:rsidRPr="00345597">
        <w:rPr>
          <w:rFonts w:ascii="Calibri" w:hAnsi="Calibri" w:cs="Calibri"/>
        </w:rPr>
        <w:tab/>
      </w:r>
      <w:r w:rsidRPr="00345597">
        <w:rPr>
          <w:rFonts w:ascii="Calibri" w:hAnsi="Calibri" w:cs="Calibri"/>
        </w:rPr>
        <w:t xml:space="preserve">Articles 6, 7 and 36 of UNCAC. Authors like De Sousa also highlight the basic features </w:t>
      </w:r>
    </w:p>
    <w:p w14:paraId="4BFC4CDC" w14:textId="77777777" w:rsidR="00363928" w:rsidRPr="00345597" w:rsidRDefault="007B43D0" w:rsidP="00363928">
      <w:pPr>
        <w:ind w:firstLine="720"/>
        <w:jc w:val="both"/>
        <w:rPr>
          <w:rFonts w:ascii="Calibri" w:hAnsi="Calibri" w:cs="Calibri"/>
        </w:rPr>
      </w:pPr>
      <w:r w:rsidRPr="00345597">
        <w:rPr>
          <w:rFonts w:ascii="Calibri" w:hAnsi="Calibri" w:cs="Calibri"/>
        </w:rPr>
        <w:t xml:space="preserve">of these bodies. L de Sousa, ‘Anticorruption Agencies: Between Empowerment and </w:t>
      </w:r>
    </w:p>
    <w:p w14:paraId="2D290CF0" w14:textId="68FCF97E" w:rsidR="007B43D0" w:rsidRPr="00345597" w:rsidRDefault="007B43D0" w:rsidP="00363928">
      <w:pPr>
        <w:ind w:firstLine="720"/>
        <w:jc w:val="both"/>
        <w:rPr>
          <w:rFonts w:ascii="Calibri" w:hAnsi="Calibri" w:cs="Calibri"/>
        </w:rPr>
      </w:pPr>
      <w:r w:rsidRPr="00345597">
        <w:rPr>
          <w:rFonts w:ascii="Calibri" w:hAnsi="Calibri" w:cs="Calibri"/>
        </w:rPr>
        <w:t>Irrelevance’ (2010) (n. 47).</w:t>
      </w:r>
    </w:p>
  </w:footnote>
  <w:footnote w:id="53">
    <w:p w14:paraId="1AE22BFB" w14:textId="291D77F4" w:rsidR="007B43D0" w:rsidRPr="00345597" w:rsidRDefault="007B43D0" w:rsidP="007B43D0">
      <w:pPr>
        <w:pStyle w:val="FootnoteText"/>
        <w:jc w:val="both"/>
        <w:rPr>
          <w:rFonts w:ascii="Calibri" w:hAnsi="Calibri" w:cs="Calibri"/>
          <w:sz w:val="24"/>
          <w:szCs w:val="24"/>
          <w:lang w:val="en-US"/>
        </w:rPr>
      </w:pPr>
      <w:r w:rsidRPr="00345597">
        <w:rPr>
          <w:rStyle w:val="FootnoteReference"/>
          <w:rFonts w:ascii="Calibri" w:hAnsi="Calibri" w:cs="Calibri"/>
          <w:sz w:val="24"/>
          <w:szCs w:val="24"/>
          <w:vertAlign w:val="baseline"/>
        </w:rPr>
        <w:footnoteRef/>
      </w:r>
      <w:r w:rsidRPr="00345597">
        <w:rPr>
          <w:rFonts w:ascii="Calibri" w:hAnsi="Calibri" w:cs="Calibri"/>
          <w:sz w:val="24"/>
          <w:szCs w:val="24"/>
        </w:rPr>
        <w:t xml:space="preserve"> </w:t>
      </w:r>
      <w:r w:rsidR="00363928" w:rsidRPr="00345597">
        <w:rPr>
          <w:rFonts w:ascii="Calibri" w:hAnsi="Calibri" w:cs="Calibri"/>
          <w:sz w:val="24"/>
          <w:szCs w:val="24"/>
        </w:rPr>
        <w:tab/>
      </w:r>
      <w:r w:rsidRPr="00345597">
        <w:rPr>
          <w:rFonts w:ascii="Calibri" w:hAnsi="Calibri" w:cs="Calibri"/>
          <w:sz w:val="24"/>
          <w:szCs w:val="24"/>
          <w:lang w:val="en-US"/>
        </w:rPr>
        <w:t>Sec. 3 (14) of the ICPC Act.</w:t>
      </w:r>
    </w:p>
  </w:footnote>
  <w:footnote w:id="54">
    <w:p w14:paraId="71BDF906" w14:textId="6A8F91EC" w:rsidR="007B43D0" w:rsidRPr="00345597" w:rsidRDefault="007B43D0" w:rsidP="007B43D0">
      <w:pPr>
        <w:pStyle w:val="FootnoteText"/>
        <w:jc w:val="both"/>
        <w:rPr>
          <w:rFonts w:ascii="Calibri" w:hAnsi="Calibri" w:cs="Calibri"/>
          <w:sz w:val="24"/>
          <w:szCs w:val="24"/>
        </w:rPr>
      </w:pPr>
      <w:r w:rsidRPr="00345597">
        <w:rPr>
          <w:rStyle w:val="FootnoteReference"/>
          <w:rFonts w:ascii="Calibri" w:hAnsi="Calibri" w:cs="Calibri"/>
          <w:sz w:val="24"/>
          <w:szCs w:val="24"/>
          <w:vertAlign w:val="baseline"/>
        </w:rPr>
        <w:footnoteRef/>
      </w:r>
      <w:r w:rsidRPr="00345597">
        <w:rPr>
          <w:rFonts w:ascii="Calibri" w:hAnsi="Calibri" w:cs="Calibri"/>
          <w:sz w:val="24"/>
          <w:szCs w:val="24"/>
        </w:rPr>
        <w:t xml:space="preserve"> </w:t>
      </w:r>
      <w:r w:rsidR="00363928" w:rsidRPr="00345597">
        <w:rPr>
          <w:rFonts w:ascii="Calibri" w:hAnsi="Calibri" w:cs="Calibri"/>
          <w:sz w:val="24"/>
          <w:szCs w:val="24"/>
        </w:rPr>
        <w:tab/>
      </w:r>
      <w:r w:rsidRPr="00345597">
        <w:rPr>
          <w:rFonts w:ascii="Calibri" w:hAnsi="Calibri" w:cs="Calibri"/>
          <w:sz w:val="24"/>
          <w:szCs w:val="24"/>
        </w:rPr>
        <w:t>Section 3 (10) and (14) of the ICPC Act.</w:t>
      </w:r>
    </w:p>
  </w:footnote>
  <w:footnote w:id="55">
    <w:p w14:paraId="6FD6CA14" w14:textId="77777777" w:rsidR="00363928" w:rsidRPr="00345597" w:rsidRDefault="007B43D0" w:rsidP="007B43D0">
      <w:pPr>
        <w:pStyle w:val="FootnoteText"/>
        <w:jc w:val="both"/>
        <w:rPr>
          <w:rFonts w:ascii="Calibri" w:hAnsi="Calibri" w:cs="Calibri"/>
          <w:sz w:val="24"/>
          <w:szCs w:val="24"/>
        </w:rPr>
      </w:pPr>
      <w:r w:rsidRPr="00345597">
        <w:rPr>
          <w:rStyle w:val="FootnoteReference"/>
          <w:rFonts w:ascii="Calibri" w:hAnsi="Calibri" w:cs="Calibri"/>
          <w:sz w:val="24"/>
          <w:szCs w:val="24"/>
          <w:vertAlign w:val="baseline"/>
        </w:rPr>
        <w:footnoteRef/>
      </w:r>
      <w:r w:rsidRPr="00345597">
        <w:rPr>
          <w:rFonts w:ascii="Calibri" w:hAnsi="Calibri" w:cs="Calibri"/>
          <w:sz w:val="24"/>
          <w:szCs w:val="24"/>
        </w:rPr>
        <w:t xml:space="preserve"> </w:t>
      </w:r>
      <w:r w:rsidR="00363928" w:rsidRPr="00345597">
        <w:rPr>
          <w:rFonts w:ascii="Calibri" w:hAnsi="Calibri" w:cs="Calibri"/>
          <w:sz w:val="24"/>
          <w:szCs w:val="24"/>
        </w:rPr>
        <w:tab/>
      </w:r>
      <w:r w:rsidRPr="00345597">
        <w:rPr>
          <w:rFonts w:ascii="Calibri" w:hAnsi="Calibri" w:cs="Calibri"/>
          <w:sz w:val="24"/>
          <w:szCs w:val="24"/>
        </w:rPr>
        <w:t xml:space="preserve">Sec. 2 (3) of the EFCC Act. Sec. 3 (8) of ICPC Act. In the case of the ICPC, for a period of </w:t>
      </w:r>
    </w:p>
    <w:p w14:paraId="200747E7" w14:textId="7DC453FB" w:rsidR="007B43D0" w:rsidRPr="00345597" w:rsidRDefault="007B43D0" w:rsidP="00363928">
      <w:pPr>
        <w:pStyle w:val="FootnoteText"/>
        <w:ind w:firstLine="720"/>
        <w:jc w:val="both"/>
        <w:rPr>
          <w:rFonts w:ascii="Calibri" w:hAnsi="Calibri" w:cs="Calibri"/>
          <w:sz w:val="24"/>
          <w:szCs w:val="24"/>
        </w:rPr>
      </w:pPr>
      <w:r w:rsidRPr="00345597">
        <w:rPr>
          <w:rFonts w:ascii="Calibri" w:hAnsi="Calibri" w:cs="Calibri"/>
          <w:sz w:val="24"/>
          <w:szCs w:val="24"/>
        </w:rPr>
        <w:t>five years while members are appointed for a period of four years.</w:t>
      </w:r>
    </w:p>
  </w:footnote>
  <w:footnote w:id="56">
    <w:p w14:paraId="395682B5" w14:textId="77777777" w:rsidR="00363928" w:rsidRPr="00345597" w:rsidRDefault="007B43D0" w:rsidP="007B43D0">
      <w:pPr>
        <w:jc w:val="both"/>
        <w:rPr>
          <w:rFonts w:ascii="Calibri" w:hAnsi="Calibri" w:cs="Calibri"/>
        </w:rPr>
      </w:pPr>
      <w:r w:rsidRPr="00345597">
        <w:rPr>
          <w:rStyle w:val="FootnoteReference"/>
          <w:rFonts w:ascii="Calibri" w:hAnsi="Calibri" w:cs="Calibri"/>
          <w:vertAlign w:val="baseline"/>
        </w:rPr>
        <w:footnoteRef/>
      </w:r>
      <w:r w:rsidRPr="00345597">
        <w:rPr>
          <w:rFonts w:ascii="Calibri" w:hAnsi="Calibri" w:cs="Calibri"/>
        </w:rPr>
        <w:t xml:space="preserve"> </w:t>
      </w:r>
      <w:r w:rsidR="00363928" w:rsidRPr="00345597">
        <w:rPr>
          <w:rFonts w:ascii="Calibri" w:hAnsi="Calibri" w:cs="Calibri"/>
        </w:rPr>
        <w:tab/>
      </w:r>
      <w:r w:rsidRPr="00345597">
        <w:rPr>
          <w:rFonts w:ascii="Calibri" w:hAnsi="Calibri" w:cs="Calibri"/>
        </w:rPr>
        <w:t>Sec. 3 (8)</w:t>
      </w:r>
      <w:r w:rsidRPr="00345597">
        <w:rPr>
          <w:rFonts w:ascii="Calibri" w:hAnsi="Calibri" w:cs="Calibri"/>
          <w:i/>
        </w:rPr>
        <w:t xml:space="preserve"> Ibid</w:t>
      </w:r>
      <w:r w:rsidRPr="00345597">
        <w:rPr>
          <w:rFonts w:ascii="Calibri" w:hAnsi="Calibri" w:cs="Calibri"/>
        </w:rPr>
        <w:t xml:space="preserve">. At the wake of its inauguration the recent administration in Nigeria, the </w:t>
      </w:r>
    </w:p>
    <w:p w14:paraId="525E31F9" w14:textId="6639253D" w:rsidR="007B43D0" w:rsidRPr="00345597" w:rsidRDefault="007B43D0" w:rsidP="00363928">
      <w:pPr>
        <w:ind w:firstLine="720"/>
        <w:jc w:val="both"/>
        <w:rPr>
          <w:rFonts w:ascii="Calibri" w:hAnsi="Calibri" w:cs="Calibri"/>
        </w:rPr>
      </w:pPr>
      <w:r w:rsidRPr="00345597">
        <w:rPr>
          <w:rFonts w:ascii="Calibri" w:hAnsi="Calibri" w:cs="Calibri"/>
        </w:rPr>
        <w:t>executive just suspended the chairman of one EFCC in June 2023.</w:t>
      </w:r>
    </w:p>
  </w:footnote>
  <w:footnote w:id="57">
    <w:p w14:paraId="5BFBCBED" w14:textId="77777777" w:rsidR="00363928" w:rsidRPr="00345597" w:rsidRDefault="007B43D0" w:rsidP="007B43D0">
      <w:pPr>
        <w:pStyle w:val="FootnoteText"/>
        <w:jc w:val="both"/>
        <w:rPr>
          <w:rFonts w:ascii="Calibri" w:hAnsi="Calibri" w:cs="Calibri"/>
          <w:sz w:val="24"/>
          <w:szCs w:val="24"/>
        </w:rPr>
      </w:pPr>
      <w:r w:rsidRPr="00345597">
        <w:rPr>
          <w:rStyle w:val="FootnoteReference"/>
          <w:rFonts w:ascii="Calibri" w:hAnsi="Calibri" w:cs="Calibri"/>
          <w:sz w:val="24"/>
          <w:szCs w:val="24"/>
          <w:vertAlign w:val="baseline"/>
        </w:rPr>
        <w:footnoteRef/>
      </w:r>
      <w:r w:rsidRPr="00345597">
        <w:rPr>
          <w:rFonts w:ascii="Calibri" w:hAnsi="Calibri" w:cs="Calibri"/>
          <w:sz w:val="24"/>
          <w:szCs w:val="24"/>
        </w:rPr>
        <w:t xml:space="preserve"> </w:t>
      </w:r>
      <w:r w:rsidR="00363928" w:rsidRPr="00345597">
        <w:rPr>
          <w:rFonts w:ascii="Calibri" w:hAnsi="Calibri" w:cs="Calibri"/>
          <w:sz w:val="24"/>
          <w:szCs w:val="24"/>
        </w:rPr>
        <w:tab/>
      </w:r>
      <w:r w:rsidRPr="00345597">
        <w:rPr>
          <w:rFonts w:ascii="Calibri" w:hAnsi="Calibri" w:cs="Calibri"/>
          <w:sz w:val="24"/>
          <w:szCs w:val="24"/>
        </w:rPr>
        <w:t xml:space="preserve">Contrary to statutory provisions, there has been strong discordance between the </w:t>
      </w:r>
    </w:p>
    <w:p w14:paraId="3EF37466" w14:textId="77777777" w:rsidR="00363928" w:rsidRPr="00345597" w:rsidRDefault="007B43D0" w:rsidP="00363928">
      <w:pPr>
        <w:pStyle w:val="FootnoteText"/>
        <w:ind w:firstLine="720"/>
        <w:jc w:val="both"/>
        <w:rPr>
          <w:rFonts w:ascii="Calibri" w:hAnsi="Calibri" w:cs="Calibri"/>
          <w:sz w:val="24"/>
          <w:szCs w:val="24"/>
        </w:rPr>
      </w:pPr>
      <w:r w:rsidRPr="00345597">
        <w:rPr>
          <w:rFonts w:ascii="Calibri" w:hAnsi="Calibri" w:cs="Calibri"/>
          <w:sz w:val="24"/>
          <w:szCs w:val="24"/>
        </w:rPr>
        <w:t xml:space="preserve">office of the AGF and the principal ACAs. Former AGFs such as </w:t>
      </w:r>
      <w:proofErr w:type="spellStart"/>
      <w:r w:rsidRPr="00345597">
        <w:rPr>
          <w:rFonts w:ascii="Calibri" w:hAnsi="Calibri" w:cs="Calibri"/>
          <w:sz w:val="24"/>
          <w:szCs w:val="24"/>
        </w:rPr>
        <w:t>Anodoaaka</w:t>
      </w:r>
      <w:proofErr w:type="spellEnd"/>
      <w:r w:rsidRPr="00345597">
        <w:rPr>
          <w:rFonts w:ascii="Calibri" w:hAnsi="Calibri" w:cs="Calibri"/>
          <w:sz w:val="24"/>
          <w:szCs w:val="24"/>
        </w:rPr>
        <w:t xml:space="preserve">, </w:t>
      </w:r>
      <w:proofErr w:type="spellStart"/>
      <w:r w:rsidRPr="00345597">
        <w:rPr>
          <w:rFonts w:ascii="Calibri" w:hAnsi="Calibri" w:cs="Calibri"/>
          <w:sz w:val="24"/>
          <w:szCs w:val="24"/>
        </w:rPr>
        <w:t>Adoke</w:t>
      </w:r>
      <w:proofErr w:type="spellEnd"/>
      <w:r w:rsidRPr="00345597">
        <w:rPr>
          <w:rFonts w:ascii="Calibri" w:hAnsi="Calibri" w:cs="Calibri"/>
          <w:sz w:val="24"/>
          <w:szCs w:val="24"/>
        </w:rPr>
        <w:t xml:space="preserve"> and </w:t>
      </w:r>
    </w:p>
    <w:p w14:paraId="02AFFB1F" w14:textId="65CB2FBE" w:rsidR="007B43D0" w:rsidRPr="00345597" w:rsidRDefault="007B43D0" w:rsidP="00363928">
      <w:pPr>
        <w:pStyle w:val="FootnoteText"/>
        <w:ind w:left="720"/>
        <w:jc w:val="both"/>
        <w:rPr>
          <w:rFonts w:ascii="Calibri" w:hAnsi="Calibri" w:cs="Calibri"/>
          <w:sz w:val="24"/>
          <w:szCs w:val="24"/>
        </w:rPr>
      </w:pPr>
      <w:r w:rsidRPr="00345597">
        <w:rPr>
          <w:rFonts w:ascii="Calibri" w:hAnsi="Calibri" w:cs="Calibri"/>
          <w:sz w:val="24"/>
          <w:szCs w:val="24"/>
        </w:rPr>
        <w:t xml:space="preserve">Malami have reportedly exploited legal provisions and abused their powers to stall or discontinue high profile corruption cases much to the chagrin of the public. For instance, former AGF, </w:t>
      </w:r>
      <w:proofErr w:type="spellStart"/>
      <w:r w:rsidRPr="00345597">
        <w:rPr>
          <w:rFonts w:ascii="Calibri" w:hAnsi="Calibri" w:cs="Calibri"/>
          <w:sz w:val="24"/>
          <w:szCs w:val="24"/>
        </w:rPr>
        <w:t>Andoaaka</w:t>
      </w:r>
      <w:proofErr w:type="spellEnd"/>
      <w:r w:rsidRPr="00345597">
        <w:rPr>
          <w:rFonts w:ascii="Calibri" w:hAnsi="Calibri" w:cs="Calibri"/>
          <w:sz w:val="24"/>
          <w:szCs w:val="24"/>
        </w:rPr>
        <w:t xml:space="preserve"> had contested the prosecutorial powers of the EFCC and sought to take over cases with respect to some former governors who were facing allegations of corruption crimes by the EFCC. Often, the AGFs refer to their powers by the provision of sec. 43 of the EFCC Act. Subsequently in 2011, </w:t>
      </w:r>
      <w:proofErr w:type="spellStart"/>
      <w:r w:rsidRPr="00345597">
        <w:rPr>
          <w:rFonts w:ascii="Calibri" w:hAnsi="Calibri" w:cs="Calibri"/>
          <w:sz w:val="24"/>
          <w:szCs w:val="24"/>
        </w:rPr>
        <w:t>Adoke</w:t>
      </w:r>
      <w:proofErr w:type="spellEnd"/>
      <w:r w:rsidRPr="00345597">
        <w:rPr>
          <w:rFonts w:ascii="Calibri" w:hAnsi="Calibri" w:cs="Calibri"/>
          <w:sz w:val="24"/>
          <w:szCs w:val="24"/>
        </w:rPr>
        <w:t xml:space="preserve"> also had made controversial regulatory provisions for the EFCC pursuant to sec. 43 of the EFCC Act. Dayo Benson, ‘EFCC: What is Attorney General Up to?’ </w:t>
      </w:r>
      <w:r w:rsidRPr="00345597">
        <w:rPr>
          <w:rFonts w:ascii="Calibri" w:hAnsi="Calibri" w:cs="Calibri"/>
          <w:i/>
          <w:sz w:val="24"/>
          <w:szCs w:val="24"/>
        </w:rPr>
        <w:t>Vanguard Newspaper</w:t>
      </w:r>
      <w:r w:rsidRPr="00345597">
        <w:rPr>
          <w:rFonts w:ascii="Calibri" w:hAnsi="Calibri" w:cs="Calibri"/>
          <w:sz w:val="24"/>
          <w:szCs w:val="24"/>
        </w:rPr>
        <w:t xml:space="preserve"> (21 July, 2011) &lt;</w:t>
      </w:r>
      <w:hyperlink r:id="rId16" w:history="1">
        <w:r w:rsidRPr="00345597">
          <w:rPr>
            <w:rStyle w:val="Hyperlink"/>
            <w:rFonts w:ascii="Calibri" w:hAnsi="Calibri" w:cs="Calibri"/>
            <w:color w:val="auto"/>
            <w:sz w:val="24"/>
            <w:szCs w:val="24"/>
            <w:u w:val="none"/>
          </w:rPr>
          <w:t>https://www.vanguardngr.com/2011/07/efcc-what-is-attorney-general-up-to/</w:t>
        </w:r>
      </w:hyperlink>
      <w:r w:rsidRPr="00345597">
        <w:rPr>
          <w:rFonts w:ascii="Calibri" w:hAnsi="Calibri" w:cs="Calibri"/>
          <w:sz w:val="24"/>
          <w:szCs w:val="24"/>
        </w:rPr>
        <w:t xml:space="preserve">&gt; Accessed 15 May, 2023. More recently is the unceremonious take-over of cases from the ACAs. Ikechukwu </w:t>
      </w:r>
      <w:proofErr w:type="spellStart"/>
      <w:r w:rsidRPr="00345597">
        <w:rPr>
          <w:rFonts w:ascii="Calibri" w:hAnsi="Calibri" w:cs="Calibri"/>
          <w:sz w:val="24"/>
          <w:szCs w:val="24"/>
        </w:rPr>
        <w:t>Nochiri</w:t>
      </w:r>
      <w:proofErr w:type="spellEnd"/>
      <w:r w:rsidRPr="00345597">
        <w:rPr>
          <w:rFonts w:ascii="Calibri" w:hAnsi="Calibri" w:cs="Calibri"/>
          <w:sz w:val="24"/>
          <w:szCs w:val="24"/>
        </w:rPr>
        <w:t xml:space="preserve">, ‘Malami Orders EFCC to hand over Casefiles of Ex-Aviation Minister, </w:t>
      </w:r>
      <w:proofErr w:type="spellStart"/>
      <w:r w:rsidRPr="00345597">
        <w:rPr>
          <w:rFonts w:ascii="Calibri" w:hAnsi="Calibri" w:cs="Calibri"/>
          <w:sz w:val="24"/>
          <w:szCs w:val="24"/>
        </w:rPr>
        <w:t>Oduah</w:t>
      </w:r>
      <w:proofErr w:type="spellEnd"/>
      <w:r w:rsidRPr="00345597">
        <w:rPr>
          <w:rFonts w:ascii="Calibri" w:hAnsi="Calibri" w:cs="Calibri"/>
          <w:sz w:val="24"/>
          <w:szCs w:val="24"/>
        </w:rPr>
        <w:t xml:space="preserve">’ </w:t>
      </w:r>
      <w:r w:rsidRPr="00345597">
        <w:rPr>
          <w:rFonts w:ascii="Calibri" w:hAnsi="Calibri" w:cs="Calibri"/>
          <w:i/>
          <w:sz w:val="24"/>
          <w:szCs w:val="24"/>
        </w:rPr>
        <w:t>Vanguard Newspaper</w:t>
      </w:r>
      <w:r w:rsidRPr="00345597">
        <w:rPr>
          <w:rFonts w:ascii="Calibri" w:hAnsi="Calibri" w:cs="Calibri"/>
          <w:sz w:val="24"/>
          <w:szCs w:val="24"/>
        </w:rPr>
        <w:t xml:space="preserve"> (22 November, 2021) &lt;</w:t>
      </w:r>
      <w:hyperlink r:id="rId17" w:history="1">
        <w:r w:rsidRPr="00345597">
          <w:rPr>
            <w:rStyle w:val="Hyperlink"/>
            <w:rFonts w:ascii="Calibri" w:hAnsi="Calibri" w:cs="Calibri"/>
            <w:color w:val="auto"/>
            <w:sz w:val="24"/>
            <w:szCs w:val="24"/>
            <w:u w:val="none"/>
          </w:rPr>
          <w:t>https://www.vanguardngr.com/2021/11/malami-orders-efcc-to-handover-casefile-of-ex-aviation-minister-oduah/</w:t>
        </w:r>
      </w:hyperlink>
      <w:r w:rsidRPr="00345597">
        <w:rPr>
          <w:rFonts w:ascii="Calibri" w:hAnsi="Calibri" w:cs="Calibri"/>
          <w:sz w:val="24"/>
          <w:szCs w:val="24"/>
        </w:rPr>
        <w:t xml:space="preserve">&gt; Accessed 15 May, 2023. </w:t>
      </w:r>
    </w:p>
  </w:footnote>
  <w:footnote w:id="58">
    <w:p w14:paraId="097EA842" w14:textId="77777777" w:rsidR="00363928" w:rsidRPr="00345597" w:rsidRDefault="007B43D0" w:rsidP="007B43D0">
      <w:pPr>
        <w:pStyle w:val="FootnoteText"/>
        <w:jc w:val="both"/>
        <w:rPr>
          <w:rFonts w:ascii="Calibri" w:hAnsi="Calibri" w:cs="Calibri"/>
          <w:sz w:val="24"/>
          <w:szCs w:val="24"/>
        </w:rPr>
      </w:pPr>
      <w:r w:rsidRPr="00345597">
        <w:rPr>
          <w:rStyle w:val="FootnoteReference"/>
          <w:rFonts w:ascii="Calibri" w:hAnsi="Calibri" w:cs="Calibri"/>
          <w:sz w:val="24"/>
          <w:szCs w:val="24"/>
          <w:vertAlign w:val="baseline"/>
        </w:rPr>
        <w:footnoteRef/>
      </w:r>
      <w:r w:rsidRPr="00345597">
        <w:rPr>
          <w:rFonts w:ascii="Calibri" w:hAnsi="Calibri" w:cs="Calibri"/>
          <w:sz w:val="24"/>
          <w:szCs w:val="24"/>
        </w:rPr>
        <w:t xml:space="preserve"> </w:t>
      </w:r>
      <w:r w:rsidR="00363928" w:rsidRPr="00345597">
        <w:rPr>
          <w:rFonts w:ascii="Calibri" w:hAnsi="Calibri" w:cs="Calibri"/>
          <w:sz w:val="24"/>
          <w:szCs w:val="24"/>
        </w:rPr>
        <w:tab/>
      </w:r>
      <w:r w:rsidRPr="00345597">
        <w:rPr>
          <w:rFonts w:ascii="Calibri" w:hAnsi="Calibri" w:cs="Calibri"/>
          <w:sz w:val="24"/>
          <w:szCs w:val="24"/>
        </w:rPr>
        <w:t xml:space="preserve">Kenneth T. </w:t>
      </w:r>
      <w:proofErr w:type="spellStart"/>
      <w:r w:rsidRPr="00345597">
        <w:rPr>
          <w:rFonts w:ascii="Calibri" w:hAnsi="Calibri" w:cs="Calibri"/>
          <w:sz w:val="24"/>
          <w:szCs w:val="24"/>
        </w:rPr>
        <w:t>Azaigba</w:t>
      </w:r>
      <w:proofErr w:type="spellEnd"/>
      <w:r w:rsidRPr="00345597">
        <w:rPr>
          <w:rFonts w:ascii="Calibri" w:hAnsi="Calibri" w:cs="Calibri"/>
          <w:sz w:val="24"/>
          <w:szCs w:val="24"/>
        </w:rPr>
        <w:t xml:space="preserve"> and Henry T. Ahom. “Between combating corruption and political </w:t>
      </w:r>
    </w:p>
    <w:p w14:paraId="1A344274" w14:textId="77777777" w:rsidR="00363928" w:rsidRPr="00345597" w:rsidRDefault="007B43D0" w:rsidP="00363928">
      <w:pPr>
        <w:pStyle w:val="FootnoteText"/>
        <w:ind w:firstLine="720"/>
        <w:jc w:val="both"/>
        <w:rPr>
          <w:rFonts w:ascii="Calibri" w:hAnsi="Calibri" w:cs="Calibri"/>
          <w:sz w:val="24"/>
          <w:szCs w:val="24"/>
        </w:rPr>
      </w:pPr>
      <w:r w:rsidRPr="00345597">
        <w:rPr>
          <w:rFonts w:ascii="Calibri" w:hAnsi="Calibri" w:cs="Calibri"/>
          <w:sz w:val="24"/>
          <w:szCs w:val="24"/>
        </w:rPr>
        <w:t xml:space="preserve">vendetta: An appraisal of the Economic and Financial Crimes Commission (EFCC) in </w:t>
      </w:r>
    </w:p>
    <w:p w14:paraId="55B7C69E" w14:textId="77777777" w:rsidR="00363928" w:rsidRPr="00345597" w:rsidRDefault="007B43D0" w:rsidP="00363928">
      <w:pPr>
        <w:pStyle w:val="FootnoteText"/>
        <w:ind w:firstLine="720"/>
        <w:jc w:val="both"/>
        <w:rPr>
          <w:rFonts w:ascii="Calibri" w:hAnsi="Calibri" w:cs="Calibri"/>
          <w:i/>
          <w:iCs/>
          <w:sz w:val="24"/>
          <w:szCs w:val="24"/>
        </w:rPr>
      </w:pPr>
      <w:r w:rsidRPr="00345597">
        <w:rPr>
          <w:rFonts w:ascii="Calibri" w:hAnsi="Calibri" w:cs="Calibri"/>
          <w:sz w:val="24"/>
          <w:szCs w:val="24"/>
        </w:rPr>
        <w:t xml:space="preserve">Nigeria since 2002”. </w:t>
      </w:r>
      <w:r w:rsidRPr="00345597">
        <w:rPr>
          <w:rFonts w:ascii="Calibri" w:hAnsi="Calibri" w:cs="Calibri"/>
          <w:i/>
          <w:iCs/>
          <w:sz w:val="24"/>
          <w:szCs w:val="24"/>
        </w:rPr>
        <w:t xml:space="preserve">International Journal of Research in Education and Sustainable </w:t>
      </w:r>
    </w:p>
    <w:p w14:paraId="17423DD2" w14:textId="77777777" w:rsidR="00363928" w:rsidRPr="00345597" w:rsidRDefault="007B43D0" w:rsidP="00363928">
      <w:pPr>
        <w:pStyle w:val="FootnoteText"/>
        <w:ind w:firstLine="720"/>
        <w:jc w:val="both"/>
        <w:rPr>
          <w:rFonts w:ascii="Calibri" w:hAnsi="Calibri" w:cs="Calibri"/>
          <w:sz w:val="24"/>
          <w:szCs w:val="24"/>
        </w:rPr>
      </w:pPr>
      <w:r w:rsidRPr="00345597">
        <w:rPr>
          <w:rFonts w:ascii="Calibri" w:hAnsi="Calibri" w:cs="Calibri"/>
          <w:i/>
          <w:iCs/>
          <w:sz w:val="24"/>
          <w:szCs w:val="24"/>
        </w:rPr>
        <w:t xml:space="preserve">Development </w:t>
      </w:r>
      <w:r w:rsidRPr="00345597">
        <w:rPr>
          <w:rFonts w:ascii="Calibri" w:hAnsi="Calibri" w:cs="Calibri"/>
          <w:sz w:val="24"/>
          <w:szCs w:val="24"/>
        </w:rPr>
        <w:t xml:space="preserve">(2021) 1 (11), 1-9. </w:t>
      </w:r>
      <w:proofErr w:type="spellStart"/>
      <w:r w:rsidRPr="00345597">
        <w:rPr>
          <w:rFonts w:ascii="Calibri" w:hAnsi="Calibri" w:cs="Calibri"/>
          <w:sz w:val="24"/>
          <w:szCs w:val="24"/>
        </w:rPr>
        <w:t>Ajagun</w:t>
      </w:r>
      <w:proofErr w:type="spellEnd"/>
      <w:r w:rsidRPr="00345597">
        <w:rPr>
          <w:rFonts w:ascii="Calibri" w:hAnsi="Calibri" w:cs="Calibri"/>
          <w:sz w:val="24"/>
          <w:szCs w:val="24"/>
        </w:rPr>
        <w:t xml:space="preserve">, S. O. “ICPC and EFCC: Instruments of selective </w:t>
      </w:r>
    </w:p>
    <w:p w14:paraId="344189B0" w14:textId="064B7132" w:rsidR="007B43D0" w:rsidRPr="00345597" w:rsidRDefault="007B43D0" w:rsidP="00363928">
      <w:pPr>
        <w:pStyle w:val="FootnoteText"/>
        <w:ind w:firstLine="720"/>
        <w:jc w:val="both"/>
        <w:rPr>
          <w:rFonts w:ascii="Calibri" w:hAnsi="Calibri" w:cs="Calibri"/>
          <w:sz w:val="24"/>
          <w:szCs w:val="24"/>
          <w:lang w:val="en-US"/>
        </w:rPr>
      </w:pPr>
      <w:r w:rsidRPr="00345597">
        <w:rPr>
          <w:rFonts w:ascii="Calibri" w:hAnsi="Calibri" w:cs="Calibri"/>
          <w:sz w:val="24"/>
          <w:szCs w:val="24"/>
        </w:rPr>
        <w:t>justice in Nigeria.” </w:t>
      </w:r>
      <w:r w:rsidRPr="00345597">
        <w:rPr>
          <w:rFonts w:ascii="Calibri" w:hAnsi="Calibri" w:cs="Calibri"/>
          <w:i/>
          <w:iCs/>
          <w:sz w:val="24"/>
          <w:szCs w:val="24"/>
        </w:rPr>
        <w:t>LWATI: A Journal of Contemporary Research</w:t>
      </w:r>
      <w:r w:rsidRPr="00345597">
        <w:rPr>
          <w:rFonts w:ascii="Calibri" w:hAnsi="Calibri" w:cs="Calibri"/>
          <w:sz w:val="24"/>
          <w:szCs w:val="24"/>
        </w:rPr>
        <w:t xml:space="preserve"> (2010) 7 (1), 277-284.</w:t>
      </w:r>
    </w:p>
  </w:footnote>
  <w:footnote w:id="59">
    <w:p w14:paraId="384D2293" w14:textId="77777777" w:rsidR="00363928" w:rsidRPr="00345597" w:rsidRDefault="007B43D0" w:rsidP="007B43D0">
      <w:pPr>
        <w:pStyle w:val="FootnoteText"/>
        <w:jc w:val="both"/>
        <w:rPr>
          <w:rFonts w:ascii="Calibri" w:hAnsi="Calibri" w:cs="Calibri"/>
          <w:sz w:val="24"/>
          <w:szCs w:val="24"/>
          <w:lang w:val="en-US"/>
        </w:rPr>
      </w:pPr>
      <w:r w:rsidRPr="00345597">
        <w:rPr>
          <w:rStyle w:val="FootnoteReference"/>
          <w:rFonts w:ascii="Calibri" w:hAnsi="Calibri" w:cs="Calibri"/>
          <w:sz w:val="24"/>
          <w:szCs w:val="24"/>
          <w:vertAlign w:val="baseline"/>
        </w:rPr>
        <w:footnoteRef/>
      </w:r>
      <w:r w:rsidRPr="00345597">
        <w:rPr>
          <w:rFonts w:ascii="Calibri" w:hAnsi="Calibri" w:cs="Calibri"/>
          <w:sz w:val="24"/>
          <w:szCs w:val="24"/>
        </w:rPr>
        <w:t xml:space="preserve"> </w:t>
      </w:r>
      <w:r w:rsidR="00363928" w:rsidRPr="00345597">
        <w:rPr>
          <w:rFonts w:ascii="Calibri" w:hAnsi="Calibri" w:cs="Calibri"/>
          <w:sz w:val="24"/>
          <w:szCs w:val="24"/>
        </w:rPr>
        <w:tab/>
      </w:r>
      <w:r w:rsidRPr="00345597">
        <w:rPr>
          <w:rFonts w:ascii="Calibri" w:hAnsi="Calibri" w:cs="Calibri"/>
          <w:sz w:val="24"/>
          <w:szCs w:val="24"/>
        </w:rPr>
        <w:t xml:space="preserve">In </w:t>
      </w:r>
      <w:r w:rsidRPr="00345597">
        <w:rPr>
          <w:rFonts w:ascii="Calibri" w:hAnsi="Calibri" w:cs="Calibri"/>
          <w:sz w:val="24"/>
          <w:szCs w:val="24"/>
          <w:lang w:val="en-US"/>
        </w:rPr>
        <w:t xml:space="preserve">the fourth republic, there have been interesting turn out of events with the EFCC’s </w:t>
      </w:r>
    </w:p>
    <w:p w14:paraId="514BEBF9" w14:textId="02342D89" w:rsidR="007B43D0" w:rsidRPr="00345597" w:rsidRDefault="007B43D0" w:rsidP="00363928">
      <w:pPr>
        <w:pStyle w:val="FootnoteText"/>
        <w:ind w:left="720"/>
        <w:jc w:val="both"/>
        <w:rPr>
          <w:rFonts w:ascii="Calibri" w:hAnsi="Calibri" w:cs="Calibri"/>
          <w:sz w:val="24"/>
          <w:szCs w:val="24"/>
          <w:lang w:val="en-US"/>
        </w:rPr>
      </w:pPr>
      <w:r w:rsidRPr="00345597">
        <w:rPr>
          <w:rFonts w:ascii="Calibri" w:hAnsi="Calibri" w:cs="Calibri"/>
          <w:sz w:val="24"/>
          <w:szCs w:val="24"/>
          <w:lang w:val="en-US"/>
        </w:rPr>
        <w:t xml:space="preserve">exercise of its powers to investigate and prosecute alleged corrupt public officials. For instance, in 2019, after the EFCC handed over the case of former governor Danjuma </w:t>
      </w:r>
      <w:proofErr w:type="spellStart"/>
      <w:r w:rsidRPr="00345597">
        <w:rPr>
          <w:rFonts w:ascii="Calibri" w:hAnsi="Calibri" w:cs="Calibri"/>
          <w:sz w:val="24"/>
          <w:szCs w:val="24"/>
          <w:lang w:val="en-US"/>
        </w:rPr>
        <w:t>Goje</w:t>
      </w:r>
      <w:proofErr w:type="spellEnd"/>
      <w:r w:rsidRPr="00345597">
        <w:rPr>
          <w:rFonts w:ascii="Calibri" w:hAnsi="Calibri" w:cs="Calibri"/>
          <w:sz w:val="24"/>
          <w:szCs w:val="24"/>
          <w:lang w:val="en-US"/>
        </w:rPr>
        <w:t xml:space="preserve"> to the office of the AGF, the federal government withdrew the charges against him. This was after the case had been stalled for almost eight years. In 2023-2024, despite several allegations of corruption against former governor of Kano State, Abdullahi </w:t>
      </w:r>
      <w:proofErr w:type="spellStart"/>
      <w:r w:rsidRPr="00345597">
        <w:rPr>
          <w:rFonts w:ascii="Calibri" w:hAnsi="Calibri" w:cs="Calibri"/>
          <w:sz w:val="24"/>
          <w:szCs w:val="24"/>
          <w:lang w:val="en-US"/>
        </w:rPr>
        <w:t>Ganduje</w:t>
      </w:r>
      <w:proofErr w:type="spellEnd"/>
      <w:r w:rsidRPr="00345597">
        <w:rPr>
          <w:rFonts w:ascii="Calibri" w:hAnsi="Calibri" w:cs="Calibri"/>
          <w:sz w:val="24"/>
          <w:szCs w:val="24"/>
          <w:lang w:val="en-US"/>
        </w:rPr>
        <w:t xml:space="preserve"> and the current chairman of the national ruling party, the EFCC has repeatedly refused to investigate or prosecute the chairman alongside other alleged persons. Although the Kano State Public Complaints and Anti-Corruption Commission had invited the governor in 2023 for questioning, the governor had derisively ignored the invitation. In 2024, the Kano State   government initially filed corruption charges including misappropriation of public funds against him, his wife and son, alongside other defendants, the case was eventually dropped. Conversely, the former governor of Kogi State, Yahaya Bello was dramatically arrested and arraigned for corruption charges after an initial conflicting court orders on the arrest of the former governor.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C87D4" w14:textId="18DBFB86" w:rsidR="002F60BA" w:rsidRDefault="002F60BA">
    <w:pPr>
      <w:pStyle w:val="Header"/>
    </w:pPr>
    <w:r w:rsidRPr="0025698B">
      <w:rPr>
        <w:rFonts w:cstheme="minorHAnsi"/>
        <w:b/>
        <w:bCs/>
        <w:noProof/>
      </w:rPr>
      <mc:AlternateContent>
        <mc:Choice Requires="wps">
          <w:drawing>
            <wp:anchor distT="45720" distB="45720" distL="114300" distR="114300" simplePos="0" relativeHeight="251659264" behindDoc="0" locked="0" layoutInCell="1" allowOverlap="1" wp14:anchorId="36E28413" wp14:editId="747F61DB">
              <wp:simplePos x="0" y="0"/>
              <wp:positionH relativeFrom="margin">
                <wp:posOffset>-198120</wp:posOffset>
              </wp:positionH>
              <wp:positionV relativeFrom="paragraph">
                <wp:posOffset>281940</wp:posOffset>
              </wp:positionV>
              <wp:extent cx="6385560" cy="518160"/>
              <wp:effectExtent l="0" t="0" r="1524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560" cy="518160"/>
                      </a:xfrm>
                      <a:prstGeom prst="rect">
                        <a:avLst/>
                      </a:prstGeom>
                      <a:solidFill>
                        <a:srgbClr val="FFC000"/>
                      </a:solidFill>
                      <a:ln w="9525">
                        <a:solidFill>
                          <a:srgbClr val="000000"/>
                        </a:solidFill>
                        <a:miter lim="800000"/>
                        <a:headEnd/>
                        <a:tailEnd/>
                      </a:ln>
                    </wps:spPr>
                    <wps:txbx>
                      <w:txbxContent>
                        <w:p w14:paraId="192B0F8D" w14:textId="6FEC67CB" w:rsidR="002F60BA" w:rsidRPr="00FC2EC5" w:rsidRDefault="00495B46" w:rsidP="00D35191">
                          <w:pPr>
                            <w:pStyle w:val="Default"/>
                            <w:spacing w:line="360" w:lineRule="auto"/>
                            <w:jc w:val="center"/>
                            <w:rPr>
                              <w:lang w:val="en-US"/>
                            </w:rPr>
                          </w:pPr>
                          <w:proofErr w:type="spellStart"/>
                          <w:r>
                            <w:rPr>
                              <w:sz w:val="20"/>
                              <w:szCs w:val="20"/>
                              <w:lang w:val="en-US"/>
                            </w:rPr>
                            <w:t>Assim</w:t>
                          </w:r>
                          <w:proofErr w:type="spellEnd"/>
                          <w:r>
                            <w:rPr>
                              <w:sz w:val="20"/>
                              <w:szCs w:val="20"/>
                              <w:lang w:val="en-US"/>
                            </w:rPr>
                            <w:t xml:space="preserve"> &amp; </w:t>
                          </w:r>
                          <w:proofErr w:type="spellStart"/>
                          <w:r>
                            <w:rPr>
                              <w:sz w:val="20"/>
                              <w:szCs w:val="20"/>
                              <w:lang w:val="en-US"/>
                            </w:rPr>
                            <w:t>Ademayo</w:t>
                          </w:r>
                          <w:proofErr w:type="spellEnd"/>
                          <w:r w:rsidR="00B27A1F">
                            <w:rPr>
                              <w:sz w:val="20"/>
                              <w:szCs w:val="20"/>
                              <w:lang w:val="en-US"/>
                            </w:rPr>
                            <w:t xml:space="preserve">: </w:t>
                          </w:r>
                          <w:r w:rsidR="00DE5841">
                            <w:rPr>
                              <w:sz w:val="20"/>
                              <w:szCs w:val="20"/>
                              <w:lang w:val="en-US"/>
                            </w:rPr>
                            <w:t>AUTOCRATIC LEGALISM THROUGH ANTI-CORRUPTIOPN STRATEGIES AND AGENCIES</w:t>
                          </w:r>
                          <w:r>
                            <w:rPr>
                              <w:sz w:val="20"/>
                              <w:szCs w:val="20"/>
                              <w:lang w:val="en-US"/>
                            </w:rPr>
                            <w:t>: A CASE STUDY OF NIGERIA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E28413" id="_x0000_t202" coordsize="21600,21600" o:spt="202" path="m,l,21600r21600,l21600,xe">
              <v:stroke joinstyle="miter"/>
              <v:path gradientshapeok="t" o:connecttype="rect"/>
            </v:shapetype>
            <v:shape id="Text Box 2" o:spid="_x0000_s1027" type="#_x0000_t202" style="position:absolute;margin-left:-15.6pt;margin-top:22.2pt;width:502.8pt;height:40.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" fillcolor="#ffc000">
              <v:textbox>
                <w:txbxContent>
                  <w:p w14:paraId="192B0F8D" w14:textId="6FEC67CB" w:rsidR="002F60BA" w:rsidRPr="00FC2EC5" w:rsidRDefault="00495B46" w:rsidP="00D35191">
                    <w:pPr>
                      <w:pStyle w:val="Default"/>
                      <w:spacing w:line="360" w:lineRule="auto"/>
                      <w:jc w:val="center"/>
                      <w:rPr>
                        <w:lang w:val="en-US"/>
                      </w:rPr>
                    </w:pPr>
                    <w:proofErr w:type="spellStart"/>
                    <w:r>
                      <w:rPr>
                        <w:sz w:val="20"/>
                        <w:szCs w:val="20"/>
                        <w:lang w:val="en-US"/>
                      </w:rPr>
                      <w:t>Assim</w:t>
                    </w:r>
                    <w:proofErr w:type="spellEnd"/>
                    <w:r>
                      <w:rPr>
                        <w:sz w:val="20"/>
                        <w:szCs w:val="20"/>
                        <w:lang w:val="en-US"/>
                      </w:rPr>
                      <w:t xml:space="preserve"> &amp; </w:t>
                    </w:r>
                    <w:proofErr w:type="spellStart"/>
                    <w:r>
                      <w:rPr>
                        <w:sz w:val="20"/>
                        <w:szCs w:val="20"/>
                        <w:lang w:val="en-US"/>
                      </w:rPr>
                      <w:t>Ademayo</w:t>
                    </w:r>
                    <w:proofErr w:type="spellEnd"/>
                    <w:r w:rsidR="00B27A1F">
                      <w:rPr>
                        <w:sz w:val="20"/>
                        <w:szCs w:val="20"/>
                        <w:lang w:val="en-US"/>
                      </w:rPr>
                      <w:t xml:space="preserve">: </w:t>
                    </w:r>
                    <w:r w:rsidR="00DE5841">
                      <w:rPr>
                        <w:sz w:val="20"/>
                        <w:szCs w:val="20"/>
                        <w:lang w:val="en-US"/>
                      </w:rPr>
                      <w:t>AUTOCRATIC LEGALISM THROUGH ANTI-CORRUPTIOPN STRATEGIES AND AGENCIES</w:t>
                    </w:r>
                    <w:r>
                      <w:rPr>
                        <w:sz w:val="20"/>
                        <w:szCs w:val="20"/>
                        <w:lang w:val="en-US"/>
                      </w:rPr>
                      <w:t>: A CASE STUDY OF NIGERIA</w:t>
                    </w:r>
                  </w:p>
                </w:txbxContent>
              </v:textbox>
              <w10:wrap type="square" anchorx="margin"/>
            </v:shape>
          </w:pict>
        </mc:Fallback>
      </mc:AlternateContent>
    </w:r>
  </w:p>
  <w:p w14:paraId="6879E24E" w14:textId="77777777" w:rsidR="002F60BA" w:rsidRDefault="002F60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9F3644"/>
    <w:multiLevelType w:val="hybridMultilevel"/>
    <w:tmpl w:val="9402736C"/>
    <w:lvl w:ilvl="0" w:tplc="774619C2">
      <w:start w:val="5"/>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 w15:restartNumberingAfterBreak="0">
    <w:nsid w:val="57E12862"/>
    <w:multiLevelType w:val="multilevel"/>
    <w:tmpl w:val="891C6C8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7F012461"/>
    <w:multiLevelType w:val="hybridMultilevel"/>
    <w:tmpl w:val="D23AB3B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xNLc0NrYwNTAzNzBV0lEKTi0uzszPAykwqgUAySa8siwAAAA="/>
  </w:docVars>
  <w:rsids>
    <w:rsidRoot w:val="0051670F"/>
    <w:rsid w:val="00006573"/>
    <w:rsid w:val="00007385"/>
    <w:rsid w:val="00007442"/>
    <w:rsid w:val="000153E1"/>
    <w:rsid w:val="00017E91"/>
    <w:rsid w:val="00021CEC"/>
    <w:rsid w:val="000240AE"/>
    <w:rsid w:val="0002548F"/>
    <w:rsid w:val="0003383F"/>
    <w:rsid w:val="00041DF3"/>
    <w:rsid w:val="00041E81"/>
    <w:rsid w:val="00042E71"/>
    <w:rsid w:val="00043AC6"/>
    <w:rsid w:val="00045626"/>
    <w:rsid w:val="00050F5F"/>
    <w:rsid w:val="000535CC"/>
    <w:rsid w:val="000722C0"/>
    <w:rsid w:val="0007680A"/>
    <w:rsid w:val="000849D9"/>
    <w:rsid w:val="00090D97"/>
    <w:rsid w:val="000959F1"/>
    <w:rsid w:val="00097AB8"/>
    <w:rsid w:val="00097DDA"/>
    <w:rsid w:val="000A1540"/>
    <w:rsid w:val="000A1585"/>
    <w:rsid w:val="000A2464"/>
    <w:rsid w:val="000A2AE7"/>
    <w:rsid w:val="000A2CC2"/>
    <w:rsid w:val="000A3463"/>
    <w:rsid w:val="000A365C"/>
    <w:rsid w:val="000A3A4A"/>
    <w:rsid w:val="000A656B"/>
    <w:rsid w:val="000A7D5A"/>
    <w:rsid w:val="000B1A23"/>
    <w:rsid w:val="000B3C58"/>
    <w:rsid w:val="000C1E31"/>
    <w:rsid w:val="000C27D6"/>
    <w:rsid w:val="000C7008"/>
    <w:rsid w:val="000C71A7"/>
    <w:rsid w:val="000C72D8"/>
    <w:rsid w:val="000D6D18"/>
    <w:rsid w:val="000D7E7E"/>
    <w:rsid w:val="000E0E3A"/>
    <w:rsid w:val="000E6A79"/>
    <w:rsid w:val="000E6D1E"/>
    <w:rsid w:val="000E72A8"/>
    <w:rsid w:val="000E7349"/>
    <w:rsid w:val="000F08F0"/>
    <w:rsid w:val="000F46BC"/>
    <w:rsid w:val="000F5407"/>
    <w:rsid w:val="000F55C3"/>
    <w:rsid w:val="000F69ED"/>
    <w:rsid w:val="001028A5"/>
    <w:rsid w:val="00103410"/>
    <w:rsid w:val="001043CE"/>
    <w:rsid w:val="00107EA1"/>
    <w:rsid w:val="00111274"/>
    <w:rsid w:val="00113F71"/>
    <w:rsid w:val="00115740"/>
    <w:rsid w:val="001164B5"/>
    <w:rsid w:val="00125D57"/>
    <w:rsid w:val="00125EC7"/>
    <w:rsid w:val="00126562"/>
    <w:rsid w:val="001302FB"/>
    <w:rsid w:val="00133983"/>
    <w:rsid w:val="00135118"/>
    <w:rsid w:val="00140D5B"/>
    <w:rsid w:val="00145133"/>
    <w:rsid w:val="00147C71"/>
    <w:rsid w:val="001501A0"/>
    <w:rsid w:val="001634F1"/>
    <w:rsid w:val="00167E8D"/>
    <w:rsid w:val="00167FAA"/>
    <w:rsid w:val="0017039B"/>
    <w:rsid w:val="00172D69"/>
    <w:rsid w:val="00172EA5"/>
    <w:rsid w:val="00180030"/>
    <w:rsid w:val="001800ED"/>
    <w:rsid w:val="00182094"/>
    <w:rsid w:val="00186DD0"/>
    <w:rsid w:val="00191659"/>
    <w:rsid w:val="00197C31"/>
    <w:rsid w:val="001A0AEB"/>
    <w:rsid w:val="001A556C"/>
    <w:rsid w:val="001A64A1"/>
    <w:rsid w:val="001B432E"/>
    <w:rsid w:val="001B7DEC"/>
    <w:rsid w:val="001C0440"/>
    <w:rsid w:val="001C4F8D"/>
    <w:rsid w:val="001C50DB"/>
    <w:rsid w:val="001D6E50"/>
    <w:rsid w:val="001E2527"/>
    <w:rsid w:val="001E3920"/>
    <w:rsid w:val="001E49CA"/>
    <w:rsid w:val="001E68AA"/>
    <w:rsid w:val="001E6DB4"/>
    <w:rsid w:val="001F3557"/>
    <w:rsid w:val="001F517E"/>
    <w:rsid w:val="001F72CD"/>
    <w:rsid w:val="00201520"/>
    <w:rsid w:val="00201A2D"/>
    <w:rsid w:val="002071C5"/>
    <w:rsid w:val="0020737C"/>
    <w:rsid w:val="00207551"/>
    <w:rsid w:val="00217E04"/>
    <w:rsid w:val="002218C9"/>
    <w:rsid w:val="002226A0"/>
    <w:rsid w:val="002254D6"/>
    <w:rsid w:val="00226662"/>
    <w:rsid w:val="00233472"/>
    <w:rsid w:val="00234296"/>
    <w:rsid w:val="00234534"/>
    <w:rsid w:val="002356B9"/>
    <w:rsid w:val="002459E1"/>
    <w:rsid w:val="00246166"/>
    <w:rsid w:val="002462AF"/>
    <w:rsid w:val="0024772B"/>
    <w:rsid w:val="00250CFC"/>
    <w:rsid w:val="002562CD"/>
    <w:rsid w:val="00257D47"/>
    <w:rsid w:val="002600FC"/>
    <w:rsid w:val="00260DD8"/>
    <w:rsid w:val="00261BFF"/>
    <w:rsid w:val="0026471A"/>
    <w:rsid w:val="00264B51"/>
    <w:rsid w:val="0027149E"/>
    <w:rsid w:val="00272605"/>
    <w:rsid w:val="0027288E"/>
    <w:rsid w:val="002749EE"/>
    <w:rsid w:val="00276980"/>
    <w:rsid w:val="00276C91"/>
    <w:rsid w:val="00283971"/>
    <w:rsid w:val="00291463"/>
    <w:rsid w:val="00293176"/>
    <w:rsid w:val="00295849"/>
    <w:rsid w:val="002978B4"/>
    <w:rsid w:val="002A1B40"/>
    <w:rsid w:val="002A38CB"/>
    <w:rsid w:val="002A39EF"/>
    <w:rsid w:val="002A5762"/>
    <w:rsid w:val="002A5C6D"/>
    <w:rsid w:val="002B5E62"/>
    <w:rsid w:val="002B7ECF"/>
    <w:rsid w:val="002C19F6"/>
    <w:rsid w:val="002C1B95"/>
    <w:rsid w:val="002C1FA6"/>
    <w:rsid w:val="002C3BD1"/>
    <w:rsid w:val="002C4C9D"/>
    <w:rsid w:val="002C6275"/>
    <w:rsid w:val="002D2E51"/>
    <w:rsid w:val="002D6D36"/>
    <w:rsid w:val="002D73AC"/>
    <w:rsid w:val="002D7B61"/>
    <w:rsid w:val="002E30AD"/>
    <w:rsid w:val="002F0175"/>
    <w:rsid w:val="002F2823"/>
    <w:rsid w:val="002F4E00"/>
    <w:rsid w:val="002F60BA"/>
    <w:rsid w:val="002F687A"/>
    <w:rsid w:val="00302D80"/>
    <w:rsid w:val="00303BE8"/>
    <w:rsid w:val="00306F3B"/>
    <w:rsid w:val="00307911"/>
    <w:rsid w:val="003157BD"/>
    <w:rsid w:val="00315CB0"/>
    <w:rsid w:val="00320AA8"/>
    <w:rsid w:val="00326C5A"/>
    <w:rsid w:val="003335E2"/>
    <w:rsid w:val="00333ABB"/>
    <w:rsid w:val="00334FCE"/>
    <w:rsid w:val="00345597"/>
    <w:rsid w:val="003501A6"/>
    <w:rsid w:val="00357A5C"/>
    <w:rsid w:val="003606FA"/>
    <w:rsid w:val="0036162C"/>
    <w:rsid w:val="00363928"/>
    <w:rsid w:val="00372CAF"/>
    <w:rsid w:val="00375999"/>
    <w:rsid w:val="00384ADC"/>
    <w:rsid w:val="00391812"/>
    <w:rsid w:val="0039323D"/>
    <w:rsid w:val="00393D73"/>
    <w:rsid w:val="0039515F"/>
    <w:rsid w:val="003969EC"/>
    <w:rsid w:val="003A4570"/>
    <w:rsid w:val="003A4980"/>
    <w:rsid w:val="003A5AF6"/>
    <w:rsid w:val="003B3A32"/>
    <w:rsid w:val="003B48E9"/>
    <w:rsid w:val="003B5304"/>
    <w:rsid w:val="003C0C72"/>
    <w:rsid w:val="003C4C62"/>
    <w:rsid w:val="003C6E17"/>
    <w:rsid w:val="003C7DBE"/>
    <w:rsid w:val="003D15D9"/>
    <w:rsid w:val="003D604A"/>
    <w:rsid w:val="003D6AF2"/>
    <w:rsid w:val="003D6B17"/>
    <w:rsid w:val="003E4721"/>
    <w:rsid w:val="003E4ADC"/>
    <w:rsid w:val="003F04C2"/>
    <w:rsid w:val="00400E88"/>
    <w:rsid w:val="00407787"/>
    <w:rsid w:val="00411518"/>
    <w:rsid w:val="00412D20"/>
    <w:rsid w:val="00413237"/>
    <w:rsid w:val="00414F81"/>
    <w:rsid w:val="00420284"/>
    <w:rsid w:val="0042193C"/>
    <w:rsid w:val="004222FD"/>
    <w:rsid w:val="0042260D"/>
    <w:rsid w:val="00422EF2"/>
    <w:rsid w:val="00424902"/>
    <w:rsid w:val="00425251"/>
    <w:rsid w:val="00434718"/>
    <w:rsid w:val="00434A7D"/>
    <w:rsid w:val="004365A0"/>
    <w:rsid w:val="00436C84"/>
    <w:rsid w:val="0043776C"/>
    <w:rsid w:val="004424DE"/>
    <w:rsid w:val="004459CC"/>
    <w:rsid w:val="00451C6C"/>
    <w:rsid w:val="004534C1"/>
    <w:rsid w:val="00461E3E"/>
    <w:rsid w:val="004729FE"/>
    <w:rsid w:val="0047407C"/>
    <w:rsid w:val="00486AC8"/>
    <w:rsid w:val="00490F5D"/>
    <w:rsid w:val="00491FE4"/>
    <w:rsid w:val="00493632"/>
    <w:rsid w:val="00495B46"/>
    <w:rsid w:val="00495F3B"/>
    <w:rsid w:val="004A13C2"/>
    <w:rsid w:val="004B5740"/>
    <w:rsid w:val="004B5EC6"/>
    <w:rsid w:val="004B666E"/>
    <w:rsid w:val="004B7262"/>
    <w:rsid w:val="004B7345"/>
    <w:rsid w:val="004C0263"/>
    <w:rsid w:val="004C0E27"/>
    <w:rsid w:val="004C1B1A"/>
    <w:rsid w:val="004D017A"/>
    <w:rsid w:val="004D1CA0"/>
    <w:rsid w:val="004D1D72"/>
    <w:rsid w:val="004D2A50"/>
    <w:rsid w:val="004D3EE9"/>
    <w:rsid w:val="004D47F0"/>
    <w:rsid w:val="004E10D3"/>
    <w:rsid w:val="004E41F5"/>
    <w:rsid w:val="004F106D"/>
    <w:rsid w:val="004F6201"/>
    <w:rsid w:val="004F72F2"/>
    <w:rsid w:val="005042B1"/>
    <w:rsid w:val="005065BC"/>
    <w:rsid w:val="005076EA"/>
    <w:rsid w:val="00511B05"/>
    <w:rsid w:val="005136D3"/>
    <w:rsid w:val="00514527"/>
    <w:rsid w:val="0051670F"/>
    <w:rsid w:val="00523FE5"/>
    <w:rsid w:val="00527F7B"/>
    <w:rsid w:val="00531AA4"/>
    <w:rsid w:val="005443DA"/>
    <w:rsid w:val="00547908"/>
    <w:rsid w:val="0056242D"/>
    <w:rsid w:val="005636C4"/>
    <w:rsid w:val="00577564"/>
    <w:rsid w:val="00577FE7"/>
    <w:rsid w:val="0058129A"/>
    <w:rsid w:val="00582F0E"/>
    <w:rsid w:val="00583167"/>
    <w:rsid w:val="00583D94"/>
    <w:rsid w:val="005866D9"/>
    <w:rsid w:val="00586FD2"/>
    <w:rsid w:val="005A1CCF"/>
    <w:rsid w:val="005A7340"/>
    <w:rsid w:val="005B0249"/>
    <w:rsid w:val="005C4ED0"/>
    <w:rsid w:val="005C7A4A"/>
    <w:rsid w:val="005D1F45"/>
    <w:rsid w:val="005D4643"/>
    <w:rsid w:val="005E0268"/>
    <w:rsid w:val="005E0454"/>
    <w:rsid w:val="005E0F1F"/>
    <w:rsid w:val="005E1365"/>
    <w:rsid w:val="005E3F3E"/>
    <w:rsid w:val="005E442D"/>
    <w:rsid w:val="005E714B"/>
    <w:rsid w:val="00603B35"/>
    <w:rsid w:val="00604232"/>
    <w:rsid w:val="00612D4F"/>
    <w:rsid w:val="00613901"/>
    <w:rsid w:val="006158A7"/>
    <w:rsid w:val="00616184"/>
    <w:rsid w:val="00617D57"/>
    <w:rsid w:val="00620AD3"/>
    <w:rsid w:val="00622286"/>
    <w:rsid w:val="00622A0E"/>
    <w:rsid w:val="00626B00"/>
    <w:rsid w:val="00631AD6"/>
    <w:rsid w:val="0063370D"/>
    <w:rsid w:val="00637689"/>
    <w:rsid w:val="00640CBB"/>
    <w:rsid w:val="00641D26"/>
    <w:rsid w:val="006432DC"/>
    <w:rsid w:val="00643BFA"/>
    <w:rsid w:val="00645210"/>
    <w:rsid w:val="006452D3"/>
    <w:rsid w:val="0064776F"/>
    <w:rsid w:val="0065754E"/>
    <w:rsid w:val="00661694"/>
    <w:rsid w:val="006626A6"/>
    <w:rsid w:val="00662AF7"/>
    <w:rsid w:val="00672336"/>
    <w:rsid w:val="00673392"/>
    <w:rsid w:val="00677798"/>
    <w:rsid w:val="00680E7E"/>
    <w:rsid w:val="006827FB"/>
    <w:rsid w:val="00683D23"/>
    <w:rsid w:val="0068545F"/>
    <w:rsid w:val="006858F6"/>
    <w:rsid w:val="00687161"/>
    <w:rsid w:val="0069518F"/>
    <w:rsid w:val="00695DE7"/>
    <w:rsid w:val="00697342"/>
    <w:rsid w:val="006B22CE"/>
    <w:rsid w:val="006B2921"/>
    <w:rsid w:val="006B2D03"/>
    <w:rsid w:val="006B3469"/>
    <w:rsid w:val="006B37F4"/>
    <w:rsid w:val="006B503D"/>
    <w:rsid w:val="006B587F"/>
    <w:rsid w:val="006B58AA"/>
    <w:rsid w:val="006B5C20"/>
    <w:rsid w:val="006B7F51"/>
    <w:rsid w:val="006C0685"/>
    <w:rsid w:val="006C0CA2"/>
    <w:rsid w:val="006C1948"/>
    <w:rsid w:val="006C19DA"/>
    <w:rsid w:val="006C1DF5"/>
    <w:rsid w:val="006C7101"/>
    <w:rsid w:val="006D0065"/>
    <w:rsid w:val="006D091B"/>
    <w:rsid w:val="006D201B"/>
    <w:rsid w:val="006D3C9A"/>
    <w:rsid w:val="006E0644"/>
    <w:rsid w:val="006E35A6"/>
    <w:rsid w:val="006E3E67"/>
    <w:rsid w:val="006F2CBE"/>
    <w:rsid w:val="00703E2A"/>
    <w:rsid w:val="00704513"/>
    <w:rsid w:val="00711050"/>
    <w:rsid w:val="00714744"/>
    <w:rsid w:val="00715B0E"/>
    <w:rsid w:val="007164CC"/>
    <w:rsid w:val="007201E7"/>
    <w:rsid w:val="00722E39"/>
    <w:rsid w:val="007309A7"/>
    <w:rsid w:val="0073455D"/>
    <w:rsid w:val="00735F6D"/>
    <w:rsid w:val="007360A4"/>
    <w:rsid w:val="007375C8"/>
    <w:rsid w:val="00740B36"/>
    <w:rsid w:val="0074211F"/>
    <w:rsid w:val="007430F8"/>
    <w:rsid w:val="00744193"/>
    <w:rsid w:val="00745355"/>
    <w:rsid w:val="007462CC"/>
    <w:rsid w:val="00746454"/>
    <w:rsid w:val="00746612"/>
    <w:rsid w:val="00751834"/>
    <w:rsid w:val="00752AC3"/>
    <w:rsid w:val="00753C94"/>
    <w:rsid w:val="0075451E"/>
    <w:rsid w:val="007569F9"/>
    <w:rsid w:val="00767A7E"/>
    <w:rsid w:val="0077550F"/>
    <w:rsid w:val="007806D5"/>
    <w:rsid w:val="00784711"/>
    <w:rsid w:val="007860EF"/>
    <w:rsid w:val="00786343"/>
    <w:rsid w:val="007876F2"/>
    <w:rsid w:val="007954E5"/>
    <w:rsid w:val="0079592F"/>
    <w:rsid w:val="00796664"/>
    <w:rsid w:val="00797A1B"/>
    <w:rsid w:val="00797EA0"/>
    <w:rsid w:val="007A416D"/>
    <w:rsid w:val="007A4180"/>
    <w:rsid w:val="007A4F72"/>
    <w:rsid w:val="007B0518"/>
    <w:rsid w:val="007B3C22"/>
    <w:rsid w:val="007B4342"/>
    <w:rsid w:val="007B43D0"/>
    <w:rsid w:val="007B63A0"/>
    <w:rsid w:val="007C402F"/>
    <w:rsid w:val="007C6198"/>
    <w:rsid w:val="007C733A"/>
    <w:rsid w:val="007C769C"/>
    <w:rsid w:val="007C7C91"/>
    <w:rsid w:val="007D10A7"/>
    <w:rsid w:val="007D1C17"/>
    <w:rsid w:val="007D45B1"/>
    <w:rsid w:val="007D596C"/>
    <w:rsid w:val="007E02BF"/>
    <w:rsid w:val="007E2148"/>
    <w:rsid w:val="007E3A8E"/>
    <w:rsid w:val="007F0FB8"/>
    <w:rsid w:val="007F2A95"/>
    <w:rsid w:val="007F646B"/>
    <w:rsid w:val="007F7648"/>
    <w:rsid w:val="00800EA0"/>
    <w:rsid w:val="00801563"/>
    <w:rsid w:val="00805001"/>
    <w:rsid w:val="00805A69"/>
    <w:rsid w:val="0080712F"/>
    <w:rsid w:val="008155B5"/>
    <w:rsid w:val="00815E0C"/>
    <w:rsid w:val="0081602B"/>
    <w:rsid w:val="00820484"/>
    <w:rsid w:val="008226E9"/>
    <w:rsid w:val="00824554"/>
    <w:rsid w:val="00824F3F"/>
    <w:rsid w:val="00825978"/>
    <w:rsid w:val="00831F15"/>
    <w:rsid w:val="0083628A"/>
    <w:rsid w:val="0083766D"/>
    <w:rsid w:val="00843642"/>
    <w:rsid w:val="008440FC"/>
    <w:rsid w:val="008471BB"/>
    <w:rsid w:val="00851A8F"/>
    <w:rsid w:val="008537CE"/>
    <w:rsid w:val="0085473A"/>
    <w:rsid w:val="00856EDB"/>
    <w:rsid w:val="008640AF"/>
    <w:rsid w:val="00864DC2"/>
    <w:rsid w:val="008650ED"/>
    <w:rsid w:val="00865409"/>
    <w:rsid w:val="0086744C"/>
    <w:rsid w:val="00876B16"/>
    <w:rsid w:val="00877751"/>
    <w:rsid w:val="00877CDA"/>
    <w:rsid w:val="00881930"/>
    <w:rsid w:val="00883DA4"/>
    <w:rsid w:val="00885F12"/>
    <w:rsid w:val="00886B2C"/>
    <w:rsid w:val="00891070"/>
    <w:rsid w:val="00894B21"/>
    <w:rsid w:val="008A7977"/>
    <w:rsid w:val="008B2447"/>
    <w:rsid w:val="008C46E8"/>
    <w:rsid w:val="008D32F4"/>
    <w:rsid w:val="008D5726"/>
    <w:rsid w:val="008D73A6"/>
    <w:rsid w:val="008E162D"/>
    <w:rsid w:val="008F0769"/>
    <w:rsid w:val="008F2E85"/>
    <w:rsid w:val="008F60B7"/>
    <w:rsid w:val="008F7BE7"/>
    <w:rsid w:val="008F7F6C"/>
    <w:rsid w:val="009031F2"/>
    <w:rsid w:val="009049BD"/>
    <w:rsid w:val="00905F58"/>
    <w:rsid w:val="00906250"/>
    <w:rsid w:val="009078DA"/>
    <w:rsid w:val="00914B20"/>
    <w:rsid w:val="00914C9C"/>
    <w:rsid w:val="0091746A"/>
    <w:rsid w:val="0092258D"/>
    <w:rsid w:val="009238FB"/>
    <w:rsid w:val="00926B7B"/>
    <w:rsid w:val="00931827"/>
    <w:rsid w:val="00931A11"/>
    <w:rsid w:val="00934A05"/>
    <w:rsid w:val="00940590"/>
    <w:rsid w:val="00940BB9"/>
    <w:rsid w:val="00940BEC"/>
    <w:rsid w:val="00941179"/>
    <w:rsid w:val="00941BFB"/>
    <w:rsid w:val="009476DA"/>
    <w:rsid w:val="0095106E"/>
    <w:rsid w:val="009521A7"/>
    <w:rsid w:val="00954FFF"/>
    <w:rsid w:val="009561DC"/>
    <w:rsid w:val="00957E83"/>
    <w:rsid w:val="009604F0"/>
    <w:rsid w:val="009606E3"/>
    <w:rsid w:val="00964EFE"/>
    <w:rsid w:val="00970F4E"/>
    <w:rsid w:val="00974C6D"/>
    <w:rsid w:val="00975BAF"/>
    <w:rsid w:val="00975C9D"/>
    <w:rsid w:val="009811BA"/>
    <w:rsid w:val="0098320E"/>
    <w:rsid w:val="009838E4"/>
    <w:rsid w:val="00983EF5"/>
    <w:rsid w:val="009916C1"/>
    <w:rsid w:val="00991855"/>
    <w:rsid w:val="00991E6A"/>
    <w:rsid w:val="009921B3"/>
    <w:rsid w:val="00993A05"/>
    <w:rsid w:val="00993E07"/>
    <w:rsid w:val="009A2372"/>
    <w:rsid w:val="009A78C6"/>
    <w:rsid w:val="009B2520"/>
    <w:rsid w:val="009B4C5C"/>
    <w:rsid w:val="009B6433"/>
    <w:rsid w:val="009C232C"/>
    <w:rsid w:val="009C3F8E"/>
    <w:rsid w:val="009C5279"/>
    <w:rsid w:val="009C5B92"/>
    <w:rsid w:val="009D0E1B"/>
    <w:rsid w:val="009D4487"/>
    <w:rsid w:val="009D5AEC"/>
    <w:rsid w:val="009D61F1"/>
    <w:rsid w:val="009D7616"/>
    <w:rsid w:val="009E04A1"/>
    <w:rsid w:val="009E6AFE"/>
    <w:rsid w:val="009F2188"/>
    <w:rsid w:val="009F3080"/>
    <w:rsid w:val="009F4D74"/>
    <w:rsid w:val="009F5D66"/>
    <w:rsid w:val="00A02EF2"/>
    <w:rsid w:val="00A07BB4"/>
    <w:rsid w:val="00A118E5"/>
    <w:rsid w:val="00A15247"/>
    <w:rsid w:val="00A274B4"/>
    <w:rsid w:val="00A302E4"/>
    <w:rsid w:val="00A34A67"/>
    <w:rsid w:val="00A41C6D"/>
    <w:rsid w:val="00A441EC"/>
    <w:rsid w:val="00A450E9"/>
    <w:rsid w:val="00A4739A"/>
    <w:rsid w:val="00A5572E"/>
    <w:rsid w:val="00A62A11"/>
    <w:rsid w:val="00A63F3C"/>
    <w:rsid w:val="00A64F58"/>
    <w:rsid w:val="00A65D8D"/>
    <w:rsid w:val="00A675DF"/>
    <w:rsid w:val="00A739CB"/>
    <w:rsid w:val="00A73D9E"/>
    <w:rsid w:val="00A80533"/>
    <w:rsid w:val="00A82B70"/>
    <w:rsid w:val="00A832E9"/>
    <w:rsid w:val="00A8623B"/>
    <w:rsid w:val="00A90695"/>
    <w:rsid w:val="00A90B37"/>
    <w:rsid w:val="00A91EF6"/>
    <w:rsid w:val="00A955E6"/>
    <w:rsid w:val="00A95E5D"/>
    <w:rsid w:val="00A95F1E"/>
    <w:rsid w:val="00AA11F1"/>
    <w:rsid w:val="00AB4112"/>
    <w:rsid w:val="00AB4D2D"/>
    <w:rsid w:val="00AB667D"/>
    <w:rsid w:val="00AB7385"/>
    <w:rsid w:val="00AC08A8"/>
    <w:rsid w:val="00AC0D6B"/>
    <w:rsid w:val="00AC16C1"/>
    <w:rsid w:val="00AC3833"/>
    <w:rsid w:val="00AC799C"/>
    <w:rsid w:val="00AD0E40"/>
    <w:rsid w:val="00AD4303"/>
    <w:rsid w:val="00AD5020"/>
    <w:rsid w:val="00AD5942"/>
    <w:rsid w:val="00AE1683"/>
    <w:rsid w:val="00AE5DB9"/>
    <w:rsid w:val="00AF0D91"/>
    <w:rsid w:val="00AF1DD5"/>
    <w:rsid w:val="00AF5604"/>
    <w:rsid w:val="00B00101"/>
    <w:rsid w:val="00B01105"/>
    <w:rsid w:val="00B03D59"/>
    <w:rsid w:val="00B0784F"/>
    <w:rsid w:val="00B128C0"/>
    <w:rsid w:val="00B1429B"/>
    <w:rsid w:val="00B160BA"/>
    <w:rsid w:val="00B2130C"/>
    <w:rsid w:val="00B21DE3"/>
    <w:rsid w:val="00B224DC"/>
    <w:rsid w:val="00B24CA6"/>
    <w:rsid w:val="00B25AE6"/>
    <w:rsid w:val="00B27A1F"/>
    <w:rsid w:val="00B27CCE"/>
    <w:rsid w:val="00B30D8B"/>
    <w:rsid w:val="00B31715"/>
    <w:rsid w:val="00B34843"/>
    <w:rsid w:val="00B34DFD"/>
    <w:rsid w:val="00B47A2C"/>
    <w:rsid w:val="00B5030A"/>
    <w:rsid w:val="00B5792B"/>
    <w:rsid w:val="00B632F8"/>
    <w:rsid w:val="00B675B1"/>
    <w:rsid w:val="00B760D1"/>
    <w:rsid w:val="00B82EEA"/>
    <w:rsid w:val="00B861E6"/>
    <w:rsid w:val="00B8642A"/>
    <w:rsid w:val="00B86567"/>
    <w:rsid w:val="00B903DA"/>
    <w:rsid w:val="00B93CA6"/>
    <w:rsid w:val="00BA0AE2"/>
    <w:rsid w:val="00BA33B2"/>
    <w:rsid w:val="00BA3BAD"/>
    <w:rsid w:val="00BA3CD7"/>
    <w:rsid w:val="00BB08DC"/>
    <w:rsid w:val="00BB2B0D"/>
    <w:rsid w:val="00BB2D3F"/>
    <w:rsid w:val="00BB442B"/>
    <w:rsid w:val="00BB542B"/>
    <w:rsid w:val="00BC1CAD"/>
    <w:rsid w:val="00BC1F23"/>
    <w:rsid w:val="00BC36C2"/>
    <w:rsid w:val="00BC482E"/>
    <w:rsid w:val="00BC774A"/>
    <w:rsid w:val="00BD113E"/>
    <w:rsid w:val="00BD370F"/>
    <w:rsid w:val="00BD3CA7"/>
    <w:rsid w:val="00BD4F06"/>
    <w:rsid w:val="00BD76F5"/>
    <w:rsid w:val="00BE2EEC"/>
    <w:rsid w:val="00BF196A"/>
    <w:rsid w:val="00BF301D"/>
    <w:rsid w:val="00BF41F9"/>
    <w:rsid w:val="00BF468E"/>
    <w:rsid w:val="00BF55BB"/>
    <w:rsid w:val="00BF5C86"/>
    <w:rsid w:val="00BF6BB7"/>
    <w:rsid w:val="00C06168"/>
    <w:rsid w:val="00C063AE"/>
    <w:rsid w:val="00C07B21"/>
    <w:rsid w:val="00C10067"/>
    <w:rsid w:val="00C109C9"/>
    <w:rsid w:val="00C12736"/>
    <w:rsid w:val="00C13A5D"/>
    <w:rsid w:val="00C149AF"/>
    <w:rsid w:val="00C20425"/>
    <w:rsid w:val="00C21BC6"/>
    <w:rsid w:val="00C24297"/>
    <w:rsid w:val="00C25032"/>
    <w:rsid w:val="00C2564D"/>
    <w:rsid w:val="00C302AC"/>
    <w:rsid w:val="00C31841"/>
    <w:rsid w:val="00C422DE"/>
    <w:rsid w:val="00C4497F"/>
    <w:rsid w:val="00C44A88"/>
    <w:rsid w:val="00C46DF2"/>
    <w:rsid w:val="00C473CE"/>
    <w:rsid w:val="00C47F3D"/>
    <w:rsid w:val="00C514C0"/>
    <w:rsid w:val="00C53808"/>
    <w:rsid w:val="00C545FB"/>
    <w:rsid w:val="00C556C6"/>
    <w:rsid w:val="00C557BB"/>
    <w:rsid w:val="00C55D3C"/>
    <w:rsid w:val="00C61E41"/>
    <w:rsid w:val="00C66237"/>
    <w:rsid w:val="00C664C3"/>
    <w:rsid w:val="00C74C03"/>
    <w:rsid w:val="00C819F9"/>
    <w:rsid w:val="00C8205C"/>
    <w:rsid w:val="00C83ED5"/>
    <w:rsid w:val="00C91779"/>
    <w:rsid w:val="00C964C3"/>
    <w:rsid w:val="00C96D66"/>
    <w:rsid w:val="00CA20D5"/>
    <w:rsid w:val="00CA5964"/>
    <w:rsid w:val="00CA6D85"/>
    <w:rsid w:val="00CB06DB"/>
    <w:rsid w:val="00CB60BA"/>
    <w:rsid w:val="00CB66CA"/>
    <w:rsid w:val="00CB7193"/>
    <w:rsid w:val="00CC1C9E"/>
    <w:rsid w:val="00CC2B38"/>
    <w:rsid w:val="00CC48CF"/>
    <w:rsid w:val="00CD2287"/>
    <w:rsid w:val="00CE1558"/>
    <w:rsid w:val="00CE2C03"/>
    <w:rsid w:val="00CE33B2"/>
    <w:rsid w:val="00CE58E1"/>
    <w:rsid w:val="00CE5E15"/>
    <w:rsid w:val="00CF7A5A"/>
    <w:rsid w:val="00D000BD"/>
    <w:rsid w:val="00D00869"/>
    <w:rsid w:val="00D06942"/>
    <w:rsid w:val="00D10B3E"/>
    <w:rsid w:val="00D110A7"/>
    <w:rsid w:val="00D13AC3"/>
    <w:rsid w:val="00D20663"/>
    <w:rsid w:val="00D23902"/>
    <w:rsid w:val="00D30DD5"/>
    <w:rsid w:val="00D35191"/>
    <w:rsid w:val="00D40BB9"/>
    <w:rsid w:val="00D4375F"/>
    <w:rsid w:val="00D44A41"/>
    <w:rsid w:val="00D504A1"/>
    <w:rsid w:val="00D51991"/>
    <w:rsid w:val="00D53E4E"/>
    <w:rsid w:val="00D5469A"/>
    <w:rsid w:val="00D54DA9"/>
    <w:rsid w:val="00D56791"/>
    <w:rsid w:val="00D60039"/>
    <w:rsid w:val="00D64341"/>
    <w:rsid w:val="00D67E8C"/>
    <w:rsid w:val="00D705D3"/>
    <w:rsid w:val="00D70B74"/>
    <w:rsid w:val="00D711A2"/>
    <w:rsid w:val="00D81ECE"/>
    <w:rsid w:val="00D83294"/>
    <w:rsid w:val="00D8415B"/>
    <w:rsid w:val="00D84CBD"/>
    <w:rsid w:val="00D86A9F"/>
    <w:rsid w:val="00D87729"/>
    <w:rsid w:val="00D87D48"/>
    <w:rsid w:val="00D93388"/>
    <w:rsid w:val="00D951E3"/>
    <w:rsid w:val="00DA6030"/>
    <w:rsid w:val="00DB080C"/>
    <w:rsid w:val="00DB70CC"/>
    <w:rsid w:val="00DC06B7"/>
    <w:rsid w:val="00DC218C"/>
    <w:rsid w:val="00DC263B"/>
    <w:rsid w:val="00DC3B2D"/>
    <w:rsid w:val="00DC489B"/>
    <w:rsid w:val="00DC6BDA"/>
    <w:rsid w:val="00DC7EDE"/>
    <w:rsid w:val="00DD0409"/>
    <w:rsid w:val="00DD1B29"/>
    <w:rsid w:val="00DD24F8"/>
    <w:rsid w:val="00DD3DE3"/>
    <w:rsid w:val="00DD5C7C"/>
    <w:rsid w:val="00DD5F50"/>
    <w:rsid w:val="00DE01ED"/>
    <w:rsid w:val="00DE229E"/>
    <w:rsid w:val="00DE366E"/>
    <w:rsid w:val="00DE5147"/>
    <w:rsid w:val="00DE55F6"/>
    <w:rsid w:val="00DE5841"/>
    <w:rsid w:val="00DE75E2"/>
    <w:rsid w:val="00DF5E16"/>
    <w:rsid w:val="00E03DD2"/>
    <w:rsid w:val="00E055A1"/>
    <w:rsid w:val="00E148F7"/>
    <w:rsid w:val="00E15768"/>
    <w:rsid w:val="00E207E4"/>
    <w:rsid w:val="00E24257"/>
    <w:rsid w:val="00E269F7"/>
    <w:rsid w:val="00E27AF2"/>
    <w:rsid w:val="00E308A5"/>
    <w:rsid w:val="00E335C5"/>
    <w:rsid w:val="00E349F0"/>
    <w:rsid w:val="00E355B5"/>
    <w:rsid w:val="00E36098"/>
    <w:rsid w:val="00E423F5"/>
    <w:rsid w:val="00E43ED0"/>
    <w:rsid w:val="00E47260"/>
    <w:rsid w:val="00E4786E"/>
    <w:rsid w:val="00E55620"/>
    <w:rsid w:val="00E60520"/>
    <w:rsid w:val="00E605CE"/>
    <w:rsid w:val="00E60C13"/>
    <w:rsid w:val="00E61053"/>
    <w:rsid w:val="00E70EC2"/>
    <w:rsid w:val="00E74968"/>
    <w:rsid w:val="00E75665"/>
    <w:rsid w:val="00E854A4"/>
    <w:rsid w:val="00E85A00"/>
    <w:rsid w:val="00E93D12"/>
    <w:rsid w:val="00E95BAF"/>
    <w:rsid w:val="00EA269B"/>
    <w:rsid w:val="00EA431B"/>
    <w:rsid w:val="00EA54DF"/>
    <w:rsid w:val="00EA5570"/>
    <w:rsid w:val="00EA5628"/>
    <w:rsid w:val="00EA6DC1"/>
    <w:rsid w:val="00EB1CC7"/>
    <w:rsid w:val="00EB4013"/>
    <w:rsid w:val="00EB41E4"/>
    <w:rsid w:val="00EB5833"/>
    <w:rsid w:val="00EB7B4F"/>
    <w:rsid w:val="00EC04DB"/>
    <w:rsid w:val="00EC2E7D"/>
    <w:rsid w:val="00ED3E6B"/>
    <w:rsid w:val="00ED548C"/>
    <w:rsid w:val="00ED5725"/>
    <w:rsid w:val="00ED6C67"/>
    <w:rsid w:val="00ED7218"/>
    <w:rsid w:val="00EF11C7"/>
    <w:rsid w:val="00F05345"/>
    <w:rsid w:val="00F05A80"/>
    <w:rsid w:val="00F173A0"/>
    <w:rsid w:val="00F20996"/>
    <w:rsid w:val="00F24D62"/>
    <w:rsid w:val="00F30276"/>
    <w:rsid w:val="00F30D35"/>
    <w:rsid w:val="00F33738"/>
    <w:rsid w:val="00F410C5"/>
    <w:rsid w:val="00F46468"/>
    <w:rsid w:val="00F5008B"/>
    <w:rsid w:val="00F518F1"/>
    <w:rsid w:val="00F66A41"/>
    <w:rsid w:val="00F70128"/>
    <w:rsid w:val="00F70A25"/>
    <w:rsid w:val="00F747C7"/>
    <w:rsid w:val="00F74D9E"/>
    <w:rsid w:val="00F757E0"/>
    <w:rsid w:val="00F769E1"/>
    <w:rsid w:val="00F8242D"/>
    <w:rsid w:val="00F82C10"/>
    <w:rsid w:val="00F85606"/>
    <w:rsid w:val="00F85D05"/>
    <w:rsid w:val="00F91576"/>
    <w:rsid w:val="00F91F70"/>
    <w:rsid w:val="00FA2206"/>
    <w:rsid w:val="00FA2820"/>
    <w:rsid w:val="00FA5D9A"/>
    <w:rsid w:val="00FB0050"/>
    <w:rsid w:val="00FB21C3"/>
    <w:rsid w:val="00FB5E61"/>
    <w:rsid w:val="00FB6DF5"/>
    <w:rsid w:val="00FC0997"/>
    <w:rsid w:val="00FC2EC5"/>
    <w:rsid w:val="00FC78FC"/>
    <w:rsid w:val="00FD0D41"/>
    <w:rsid w:val="00FD39C7"/>
    <w:rsid w:val="00FD465F"/>
    <w:rsid w:val="00FD537C"/>
    <w:rsid w:val="00FD6592"/>
    <w:rsid w:val="00FD661D"/>
    <w:rsid w:val="00FD7D22"/>
    <w:rsid w:val="00FE292D"/>
    <w:rsid w:val="00FE434C"/>
    <w:rsid w:val="00FE54E1"/>
    <w:rsid w:val="00FE5C81"/>
    <w:rsid w:val="00FF06FF"/>
    <w:rsid w:val="00FF2F3B"/>
    <w:rsid w:val="00FF4273"/>
    <w:rsid w:val="00FF4378"/>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B7EA2E"/>
  <w15:chartTrackingRefBased/>
  <w15:docId w15:val="{64195769-433B-401B-A3C4-5B02E3DCD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23F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51670F"/>
    <w:pPr>
      <w:spacing w:before="100" w:beforeAutospacing="1" w:after="100" w:afterAutospacing="1"/>
      <w:outlineLvl w:val="0"/>
    </w:pPr>
    <w:rPr>
      <w:b/>
      <w:bCs/>
      <w:kern w:val="36"/>
      <w:szCs w:val="48"/>
      <w:lang w:eastAsia="en-ZA"/>
    </w:rPr>
  </w:style>
  <w:style w:type="paragraph" w:styleId="Heading2">
    <w:name w:val="heading 2"/>
    <w:basedOn w:val="Normal"/>
    <w:next w:val="Normal"/>
    <w:link w:val="Heading2Char"/>
    <w:uiPriority w:val="9"/>
    <w:unhideWhenUsed/>
    <w:qFormat/>
    <w:rsid w:val="0051670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2048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820484"/>
    <w:pPr>
      <w:keepNext/>
      <w:keepLines/>
      <w:spacing w:before="40"/>
      <w:outlineLvl w:val="3"/>
    </w:pPr>
    <w:rPr>
      <w:rFonts w:ascii="Calibri Light" w:hAnsi="Calibri Light"/>
      <w:i/>
      <w:iCs/>
      <w:color w:val="2F5496"/>
    </w:rPr>
  </w:style>
  <w:style w:type="paragraph" w:styleId="Heading5">
    <w:name w:val="heading 5"/>
    <w:basedOn w:val="Normal"/>
    <w:next w:val="Normal"/>
    <w:link w:val="Heading5Char"/>
    <w:uiPriority w:val="9"/>
    <w:semiHidden/>
    <w:unhideWhenUsed/>
    <w:qFormat/>
    <w:rsid w:val="007D596C"/>
    <w:pPr>
      <w:keepNext/>
      <w:keepLines/>
      <w:spacing w:before="220" w:after="40"/>
      <w:outlineLvl w:val="4"/>
    </w:pPr>
    <w:rPr>
      <w:rFonts w:ascii="Calibri" w:eastAsia="Calibri" w:hAnsi="Calibri" w:cs="Calibri"/>
      <w:b/>
      <w:lang w:eastAsia="en-ZA"/>
    </w:rPr>
  </w:style>
  <w:style w:type="paragraph" w:styleId="Heading6">
    <w:name w:val="heading 6"/>
    <w:basedOn w:val="Normal"/>
    <w:next w:val="Normal"/>
    <w:link w:val="Heading6Char"/>
    <w:uiPriority w:val="9"/>
    <w:semiHidden/>
    <w:unhideWhenUsed/>
    <w:qFormat/>
    <w:rsid w:val="007D596C"/>
    <w:pPr>
      <w:keepNext/>
      <w:keepLines/>
      <w:spacing w:before="200" w:after="40"/>
      <w:outlineLvl w:val="5"/>
    </w:pPr>
    <w:rPr>
      <w:rFonts w:ascii="Calibri" w:eastAsia="Calibri" w:hAnsi="Calibri" w:cs="Calibri"/>
      <w:b/>
      <w:sz w:val="20"/>
      <w:szCs w:val="2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670F"/>
    <w:rPr>
      <w:rFonts w:eastAsia="Times New Roman" w:cs="Times New Roman"/>
      <w:b/>
      <w:bCs/>
      <w:kern w:val="36"/>
      <w:sz w:val="24"/>
      <w:szCs w:val="48"/>
      <w:lang w:eastAsia="en-ZA"/>
    </w:rPr>
  </w:style>
  <w:style w:type="character" w:customStyle="1" w:styleId="Heading2Char">
    <w:name w:val="Heading 2 Char"/>
    <w:basedOn w:val="DefaultParagraphFont"/>
    <w:link w:val="Heading2"/>
    <w:uiPriority w:val="9"/>
    <w:rsid w:val="0051670F"/>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1670F"/>
    <w:rPr>
      <w:color w:val="0563C1" w:themeColor="hyperlink"/>
      <w:u w:val="single"/>
    </w:rPr>
  </w:style>
  <w:style w:type="paragraph" w:styleId="TOCHeading">
    <w:name w:val="TOC Heading"/>
    <w:basedOn w:val="Heading1"/>
    <w:next w:val="Normal"/>
    <w:uiPriority w:val="39"/>
    <w:unhideWhenUsed/>
    <w:qFormat/>
    <w:rsid w:val="0051670F"/>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51670F"/>
    <w:pPr>
      <w:spacing w:after="100" w:line="256" w:lineRule="auto"/>
    </w:pPr>
  </w:style>
  <w:style w:type="paragraph" w:styleId="ListParagraph">
    <w:name w:val="List Paragraph"/>
    <w:basedOn w:val="Normal"/>
    <w:uiPriority w:val="34"/>
    <w:qFormat/>
    <w:rsid w:val="0051670F"/>
    <w:pPr>
      <w:ind w:left="720"/>
      <w:contextualSpacing/>
    </w:pPr>
  </w:style>
  <w:style w:type="paragraph" w:styleId="FootnoteText">
    <w:name w:val="footnote text"/>
    <w:basedOn w:val="Normal"/>
    <w:link w:val="FootnoteTextChar"/>
    <w:unhideWhenUsed/>
    <w:rsid w:val="0051670F"/>
    <w:rPr>
      <w:sz w:val="20"/>
      <w:szCs w:val="20"/>
    </w:rPr>
  </w:style>
  <w:style w:type="character" w:customStyle="1" w:styleId="FootnoteTextChar">
    <w:name w:val="Footnote Text Char"/>
    <w:basedOn w:val="DefaultParagraphFont"/>
    <w:link w:val="FootnoteText"/>
    <w:uiPriority w:val="99"/>
    <w:qFormat/>
    <w:rsid w:val="0051670F"/>
    <w:rPr>
      <w:sz w:val="20"/>
      <w:szCs w:val="20"/>
    </w:rPr>
  </w:style>
  <w:style w:type="character" w:styleId="FootnoteReference">
    <w:name w:val="footnote reference"/>
    <w:basedOn w:val="DefaultParagraphFont"/>
    <w:uiPriority w:val="99"/>
    <w:unhideWhenUsed/>
    <w:rsid w:val="0051670F"/>
    <w:rPr>
      <w:vertAlign w:val="superscript"/>
    </w:rPr>
  </w:style>
  <w:style w:type="character" w:customStyle="1" w:styleId="UnresolvedMention1">
    <w:name w:val="Unresolved Mention1"/>
    <w:basedOn w:val="DefaultParagraphFont"/>
    <w:uiPriority w:val="99"/>
    <w:unhideWhenUsed/>
    <w:rsid w:val="0051670F"/>
    <w:rPr>
      <w:color w:val="605E5C"/>
      <w:shd w:val="clear" w:color="auto" w:fill="E1DFDD"/>
    </w:rPr>
  </w:style>
  <w:style w:type="character" w:styleId="FollowedHyperlink">
    <w:name w:val="FollowedHyperlink"/>
    <w:basedOn w:val="DefaultParagraphFont"/>
    <w:uiPriority w:val="99"/>
    <w:semiHidden/>
    <w:unhideWhenUsed/>
    <w:rsid w:val="0051670F"/>
    <w:rPr>
      <w:color w:val="954F72" w:themeColor="followedHyperlink"/>
      <w:u w:val="single"/>
    </w:rPr>
  </w:style>
  <w:style w:type="character" w:styleId="CommentReference">
    <w:name w:val="annotation reference"/>
    <w:basedOn w:val="DefaultParagraphFont"/>
    <w:uiPriority w:val="99"/>
    <w:semiHidden/>
    <w:unhideWhenUsed/>
    <w:rsid w:val="0051670F"/>
    <w:rPr>
      <w:sz w:val="16"/>
      <w:szCs w:val="16"/>
    </w:rPr>
  </w:style>
  <w:style w:type="paragraph" w:styleId="CommentText">
    <w:name w:val="annotation text"/>
    <w:basedOn w:val="Normal"/>
    <w:link w:val="CommentTextChar"/>
    <w:uiPriority w:val="99"/>
    <w:unhideWhenUsed/>
    <w:rsid w:val="0051670F"/>
    <w:rPr>
      <w:sz w:val="20"/>
      <w:szCs w:val="20"/>
    </w:rPr>
  </w:style>
  <w:style w:type="character" w:customStyle="1" w:styleId="CommentTextChar">
    <w:name w:val="Comment Text Char"/>
    <w:basedOn w:val="DefaultParagraphFont"/>
    <w:link w:val="CommentText"/>
    <w:uiPriority w:val="99"/>
    <w:rsid w:val="0051670F"/>
    <w:rPr>
      <w:sz w:val="20"/>
      <w:szCs w:val="20"/>
    </w:rPr>
  </w:style>
  <w:style w:type="paragraph" w:styleId="CommentSubject">
    <w:name w:val="annotation subject"/>
    <w:basedOn w:val="CommentText"/>
    <w:next w:val="CommentText"/>
    <w:link w:val="CommentSubjectChar"/>
    <w:uiPriority w:val="99"/>
    <w:semiHidden/>
    <w:unhideWhenUsed/>
    <w:rsid w:val="0051670F"/>
    <w:rPr>
      <w:b/>
      <w:bCs/>
    </w:rPr>
  </w:style>
  <w:style w:type="character" w:customStyle="1" w:styleId="CommentSubjectChar">
    <w:name w:val="Comment Subject Char"/>
    <w:basedOn w:val="CommentTextChar"/>
    <w:link w:val="CommentSubject"/>
    <w:uiPriority w:val="99"/>
    <w:semiHidden/>
    <w:rsid w:val="0051670F"/>
    <w:rPr>
      <w:b/>
      <w:bCs/>
      <w:sz w:val="20"/>
      <w:szCs w:val="20"/>
    </w:rPr>
  </w:style>
  <w:style w:type="paragraph" w:styleId="BalloonText">
    <w:name w:val="Balloon Text"/>
    <w:basedOn w:val="Normal"/>
    <w:link w:val="BalloonTextChar"/>
    <w:uiPriority w:val="99"/>
    <w:semiHidden/>
    <w:unhideWhenUsed/>
    <w:rsid w:val="00516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70F"/>
    <w:rPr>
      <w:rFonts w:ascii="Segoe UI" w:hAnsi="Segoe UI" w:cs="Segoe UI"/>
      <w:sz w:val="18"/>
      <w:szCs w:val="18"/>
    </w:rPr>
  </w:style>
  <w:style w:type="paragraph" w:styleId="NormalWeb">
    <w:name w:val="Normal (Web)"/>
    <w:basedOn w:val="Normal"/>
    <w:uiPriority w:val="99"/>
    <w:unhideWhenUsed/>
    <w:qFormat/>
    <w:rsid w:val="0051670F"/>
  </w:style>
  <w:style w:type="paragraph" w:styleId="Header">
    <w:name w:val="header"/>
    <w:basedOn w:val="Normal"/>
    <w:link w:val="HeaderChar"/>
    <w:uiPriority w:val="99"/>
    <w:unhideWhenUsed/>
    <w:rsid w:val="0051670F"/>
    <w:pPr>
      <w:tabs>
        <w:tab w:val="center" w:pos="4513"/>
        <w:tab w:val="right" w:pos="9026"/>
      </w:tabs>
    </w:pPr>
  </w:style>
  <w:style w:type="character" w:customStyle="1" w:styleId="HeaderChar">
    <w:name w:val="Header Char"/>
    <w:basedOn w:val="DefaultParagraphFont"/>
    <w:link w:val="Header"/>
    <w:uiPriority w:val="99"/>
    <w:rsid w:val="0051670F"/>
  </w:style>
  <w:style w:type="paragraph" w:styleId="Footer">
    <w:name w:val="footer"/>
    <w:basedOn w:val="Normal"/>
    <w:link w:val="FooterChar"/>
    <w:uiPriority w:val="99"/>
    <w:unhideWhenUsed/>
    <w:rsid w:val="0051670F"/>
    <w:pPr>
      <w:tabs>
        <w:tab w:val="center" w:pos="4513"/>
        <w:tab w:val="right" w:pos="9026"/>
      </w:tabs>
    </w:pPr>
  </w:style>
  <w:style w:type="character" w:customStyle="1" w:styleId="FooterChar">
    <w:name w:val="Footer Char"/>
    <w:basedOn w:val="DefaultParagraphFont"/>
    <w:link w:val="Footer"/>
    <w:uiPriority w:val="99"/>
    <w:rsid w:val="0051670F"/>
  </w:style>
  <w:style w:type="paragraph" w:styleId="NoSpacing">
    <w:name w:val="No Spacing"/>
    <w:uiPriority w:val="1"/>
    <w:qFormat/>
    <w:rsid w:val="0026471A"/>
    <w:pPr>
      <w:spacing w:after="0" w:line="240" w:lineRule="auto"/>
    </w:pPr>
  </w:style>
  <w:style w:type="paragraph" w:styleId="Revision">
    <w:name w:val="Revision"/>
    <w:hidden/>
    <w:uiPriority w:val="99"/>
    <w:semiHidden/>
    <w:rsid w:val="001F72CD"/>
    <w:pPr>
      <w:spacing w:after="0" w:line="240" w:lineRule="auto"/>
    </w:pPr>
  </w:style>
  <w:style w:type="character" w:customStyle="1" w:styleId="Heading3Char">
    <w:name w:val="Heading 3 Char"/>
    <w:basedOn w:val="DefaultParagraphFont"/>
    <w:link w:val="Heading3"/>
    <w:uiPriority w:val="9"/>
    <w:rsid w:val="0082048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820484"/>
    <w:rPr>
      <w:rFonts w:ascii="Calibri Light" w:eastAsia="Times New Roman" w:hAnsi="Calibri Light" w:cs="Times New Roman"/>
      <w:i/>
      <w:iCs/>
      <w:color w:val="2F5496"/>
    </w:rPr>
  </w:style>
  <w:style w:type="paragraph" w:customStyle="1" w:styleId="Heading41">
    <w:name w:val="Heading 41"/>
    <w:basedOn w:val="Normal"/>
    <w:next w:val="Normal"/>
    <w:uiPriority w:val="9"/>
    <w:semiHidden/>
    <w:unhideWhenUsed/>
    <w:qFormat/>
    <w:rsid w:val="00820484"/>
    <w:pPr>
      <w:keepNext/>
      <w:keepLines/>
      <w:spacing w:before="40"/>
      <w:outlineLvl w:val="3"/>
    </w:pPr>
    <w:rPr>
      <w:rFonts w:ascii="Calibri Light" w:hAnsi="Calibri Light"/>
      <w:i/>
      <w:iCs/>
      <w:color w:val="2F5496"/>
    </w:rPr>
  </w:style>
  <w:style w:type="character" w:customStyle="1" w:styleId="Heading4Char1">
    <w:name w:val="Heading 4 Char1"/>
    <w:basedOn w:val="DefaultParagraphFont"/>
    <w:uiPriority w:val="9"/>
    <w:semiHidden/>
    <w:rsid w:val="00820484"/>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1B7DEC"/>
    <w:rPr>
      <w:color w:val="605E5C"/>
      <w:shd w:val="clear" w:color="auto" w:fill="E1DFDD"/>
    </w:rPr>
  </w:style>
  <w:style w:type="character" w:customStyle="1" w:styleId="Heading5Char">
    <w:name w:val="Heading 5 Char"/>
    <w:basedOn w:val="DefaultParagraphFont"/>
    <w:link w:val="Heading5"/>
    <w:uiPriority w:val="9"/>
    <w:semiHidden/>
    <w:rsid w:val="007D596C"/>
    <w:rPr>
      <w:rFonts w:ascii="Calibri" w:eastAsia="Calibri" w:hAnsi="Calibri" w:cs="Calibri"/>
      <w:b/>
      <w:lang w:eastAsia="en-ZA"/>
    </w:rPr>
  </w:style>
  <w:style w:type="character" w:customStyle="1" w:styleId="Heading6Char">
    <w:name w:val="Heading 6 Char"/>
    <w:basedOn w:val="DefaultParagraphFont"/>
    <w:link w:val="Heading6"/>
    <w:uiPriority w:val="9"/>
    <w:semiHidden/>
    <w:rsid w:val="007D596C"/>
    <w:rPr>
      <w:rFonts w:ascii="Calibri" w:eastAsia="Calibri" w:hAnsi="Calibri" w:cs="Calibri"/>
      <w:b/>
      <w:sz w:val="20"/>
      <w:szCs w:val="20"/>
      <w:lang w:eastAsia="en-ZA"/>
    </w:rPr>
  </w:style>
  <w:style w:type="numbering" w:customStyle="1" w:styleId="NoList1">
    <w:name w:val="No List1"/>
    <w:next w:val="NoList"/>
    <w:uiPriority w:val="99"/>
    <w:semiHidden/>
    <w:unhideWhenUsed/>
    <w:rsid w:val="007D596C"/>
  </w:style>
  <w:style w:type="paragraph" w:styleId="Title">
    <w:name w:val="Title"/>
    <w:basedOn w:val="Normal"/>
    <w:next w:val="Normal"/>
    <w:link w:val="TitleChar"/>
    <w:uiPriority w:val="10"/>
    <w:qFormat/>
    <w:rsid w:val="007D596C"/>
    <w:pPr>
      <w:keepNext/>
      <w:keepLines/>
      <w:spacing w:before="480" w:after="120"/>
    </w:pPr>
    <w:rPr>
      <w:rFonts w:ascii="Calibri" w:eastAsia="Calibri" w:hAnsi="Calibri" w:cs="Calibri"/>
      <w:b/>
      <w:sz w:val="72"/>
      <w:szCs w:val="72"/>
      <w:lang w:eastAsia="en-ZA"/>
    </w:rPr>
  </w:style>
  <w:style w:type="character" w:customStyle="1" w:styleId="TitleChar">
    <w:name w:val="Title Char"/>
    <w:basedOn w:val="DefaultParagraphFont"/>
    <w:link w:val="Title"/>
    <w:uiPriority w:val="10"/>
    <w:rsid w:val="007D596C"/>
    <w:rPr>
      <w:rFonts w:ascii="Calibri" w:eastAsia="Calibri" w:hAnsi="Calibri" w:cs="Calibri"/>
      <w:b/>
      <w:sz w:val="72"/>
      <w:szCs w:val="72"/>
      <w:lang w:eastAsia="en-ZA"/>
    </w:rPr>
  </w:style>
  <w:style w:type="paragraph" w:styleId="Subtitle">
    <w:name w:val="Subtitle"/>
    <w:basedOn w:val="Normal"/>
    <w:next w:val="Normal"/>
    <w:link w:val="SubtitleChar"/>
    <w:uiPriority w:val="11"/>
    <w:qFormat/>
    <w:rsid w:val="007D596C"/>
    <w:pPr>
      <w:keepNext/>
      <w:keepLines/>
      <w:spacing w:before="360" w:after="80"/>
    </w:pPr>
    <w:rPr>
      <w:rFonts w:ascii="Georgia" w:eastAsia="Georgia" w:hAnsi="Georgia" w:cs="Georgia"/>
      <w:i/>
      <w:color w:val="666666"/>
      <w:sz w:val="48"/>
      <w:szCs w:val="48"/>
      <w:lang w:eastAsia="en-ZA"/>
    </w:rPr>
  </w:style>
  <w:style w:type="character" w:customStyle="1" w:styleId="SubtitleChar">
    <w:name w:val="Subtitle Char"/>
    <w:basedOn w:val="DefaultParagraphFont"/>
    <w:link w:val="Subtitle"/>
    <w:uiPriority w:val="11"/>
    <w:rsid w:val="007D596C"/>
    <w:rPr>
      <w:rFonts w:ascii="Georgia" w:eastAsia="Georgia" w:hAnsi="Georgia" w:cs="Georgia"/>
      <w:i/>
      <w:color w:val="666666"/>
      <w:sz w:val="48"/>
      <w:szCs w:val="48"/>
      <w:lang w:eastAsia="en-ZA"/>
    </w:rPr>
  </w:style>
  <w:style w:type="character" w:styleId="Emphasis">
    <w:name w:val="Emphasis"/>
    <w:basedOn w:val="DefaultParagraphFont"/>
    <w:uiPriority w:val="20"/>
    <w:qFormat/>
    <w:rsid w:val="00AF1DD5"/>
    <w:rPr>
      <w:i/>
      <w:iCs/>
    </w:rPr>
  </w:style>
  <w:style w:type="paragraph" w:customStyle="1" w:styleId="Default">
    <w:name w:val="Default"/>
    <w:qFormat/>
    <w:rsid w:val="00AF1DD5"/>
    <w:pPr>
      <w:autoSpaceDE w:val="0"/>
      <w:autoSpaceDN w:val="0"/>
      <w:adjustRightInd w:val="0"/>
      <w:spacing w:after="0" w:line="240" w:lineRule="auto"/>
    </w:pPr>
    <w:rPr>
      <w:rFonts w:ascii="Calibri" w:hAnsi="Calibri" w:cs="Calibri"/>
      <w:color w:val="000000"/>
      <w:sz w:val="24"/>
      <w:szCs w:val="24"/>
      <w:lang w:val="it-IT"/>
    </w:rPr>
  </w:style>
  <w:style w:type="character" w:customStyle="1" w:styleId="nlmyear">
    <w:name w:val="nlm_year"/>
    <w:basedOn w:val="DefaultParagraphFont"/>
    <w:rsid w:val="00AF1DD5"/>
  </w:style>
  <w:style w:type="character" w:customStyle="1" w:styleId="nlmchapter-title">
    <w:name w:val="nlm_chapter-title"/>
    <w:basedOn w:val="DefaultParagraphFont"/>
    <w:rsid w:val="00AF1DD5"/>
  </w:style>
  <w:style w:type="character" w:customStyle="1" w:styleId="nlmpublisher-loc">
    <w:name w:val="nlm_publisher-loc"/>
    <w:basedOn w:val="DefaultParagraphFont"/>
    <w:rsid w:val="00AF1DD5"/>
  </w:style>
  <w:style w:type="character" w:customStyle="1" w:styleId="nlmpublisher-name">
    <w:name w:val="nlm_publisher-name"/>
    <w:basedOn w:val="DefaultParagraphFont"/>
    <w:rsid w:val="00AF1DD5"/>
  </w:style>
  <w:style w:type="character" w:customStyle="1" w:styleId="nlmfpage">
    <w:name w:val="nlm_fpage"/>
    <w:basedOn w:val="DefaultParagraphFont"/>
    <w:rsid w:val="00AF1DD5"/>
  </w:style>
  <w:style w:type="character" w:customStyle="1" w:styleId="nlmlpage">
    <w:name w:val="nlm_lpage"/>
    <w:basedOn w:val="DefaultParagraphFont"/>
    <w:rsid w:val="00AF1DD5"/>
  </w:style>
  <w:style w:type="character" w:customStyle="1" w:styleId="fielditem">
    <w:name w:val="field__item"/>
    <w:basedOn w:val="DefaultParagraphFont"/>
    <w:rsid w:val="00AF1DD5"/>
  </w:style>
  <w:style w:type="character" w:customStyle="1" w:styleId="nlmarticle-title">
    <w:name w:val="nlm_article-title"/>
    <w:basedOn w:val="DefaultParagraphFont"/>
    <w:rsid w:val="00AF1DD5"/>
  </w:style>
  <w:style w:type="character" w:customStyle="1" w:styleId="author">
    <w:name w:val="author"/>
    <w:basedOn w:val="DefaultParagraphFont"/>
    <w:rsid w:val="00AF1DD5"/>
  </w:style>
  <w:style w:type="character" w:styleId="Strong">
    <w:name w:val="Strong"/>
    <w:basedOn w:val="DefaultParagraphFont"/>
    <w:uiPriority w:val="22"/>
    <w:qFormat/>
    <w:rsid w:val="00AF1DD5"/>
    <w:rPr>
      <w:b/>
      <w:bCs/>
    </w:rPr>
  </w:style>
  <w:style w:type="character" w:customStyle="1" w:styleId="sw">
    <w:name w:val="sw"/>
    <w:basedOn w:val="DefaultParagraphFont"/>
    <w:rsid w:val="00AF1DD5"/>
  </w:style>
  <w:style w:type="character" w:customStyle="1" w:styleId="FootnoteAnchor">
    <w:name w:val="Footnote Anchor"/>
    <w:rsid w:val="00E423F5"/>
    <w:rPr>
      <w:rFonts w:cs="Times New Roman"/>
      <w:vertAlign w:val="superscript"/>
    </w:rPr>
  </w:style>
  <w:style w:type="character" w:customStyle="1" w:styleId="apple-converted-space">
    <w:name w:val="apple-converted-space"/>
    <w:basedOn w:val="DefaultParagraphFont"/>
    <w:qFormat/>
    <w:rsid w:val="00E423F5"/>
  </w:style>
  <w:style w:type="table" w:customStyle="1" w:styleId="TableNormal1">
    <w:name w:val="Table Normal1"/>
    <w:uiPriority w:val="2"/>
    <w:qFormat/>
    <w:rsid w:val="001E3920"/>
    <w:pPr>
      <w:widowControl w:val="0"/>
      <w:autoSpaceDE w:val="0"/>
      <w:autoSpaceDN w:val="0"/>
      <w:spacing w:after="0" w:line="240" w:lineRule="auto"/>
    </w:pPr>
    <w:rPr>
      <w:rFonts w:ascii="Calibri" w:eastAsia="Calibri" w:hAnsi="Calibri" w:cs="SimSun"/>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1E3920"/>
    <w:pPr>
      <w:widowControl w:val="0"/>
      <w:autoSpaceDE w:val="0"/>
      <w:autoSpaceDN w:val="0"/>
      <w:ind w:left="300"/>
      <w:jc w:val="both"/>
    </w:pPr>
    <w:rPr>
      <w:lang w:val="en-US" w:eastAsia="en-US"/>
    </w:rPr>
  </w:style>
  <w:style w:type="character" w:customStyle="1" w:styleId="BodyTextChar">
    <w:name w:val="Body Text Char"/>
    <w:basedOn w:val="DefaultParagraphFont"/>
    <w:link w:val="BodyText"/>
    <w:uiPriority w:val="1"/>
    <w:rsid w:val="001E3920"/>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1E3920"/>
    <w:pPr>
      <w:widowControl w:val="0"/>
      <w:autoSpaceDE w:val="0"/>
      <w:autoSpaceDN w:val="0"/>
    </w:pPr>
    <w:rPr>
      <w:sz w:val="22"/>
      <w:szCs w:val="22"/>
      <w:lang w:val="en-US" w:eastAsia="en-US"/>
    </w:rPr>
  </w:style>
  <w:style w:type="character" w:styleId="PageNumber">
    <w:name w:val="page number"/>
    <w:basedOn w:val="DefaultParagraphFont"/>
    <w:uiPriority w:val="99"/>
    <w:rsid w:val="001E3920"/>
  </w:style>
  <w:style w:type="paragraph" w:styleId="EndnoteText">
    <w:name w:val="endnote text"/>
    <w:basedOn w:val="Normal"/>
    <w:link w:val="EndnoteTextChar"/>
    <w:uiPriority w:val="99"/>
    <w:semiHidden/>
    <w:unhideWhenUsed/>
    <w:rsid w:val="001E3920"/>
    <w:pPr>
      <w:widowControl w:val="0"/>
      <w:autoSpaceDE w:val="0"/>
      <w:autoSpaceDN w:val="0"/>
    </w:pPr>
    <w:rPr>
      <w:sz w:val="20"/>
      <w:szCs w:val="20"/>
      <w:lang w:val="en-US" w:eastAsia="en-US"/>
    </w:rPr>
  </w:style>
  <w:style w:type="character" w:customStyle="1" w:styleId="EndnoteTextChar">
    <w:name w:val="Endnote Text Char"/>
    <w:basedOn w:val="DefaultParagraphFont"/>
    <w:link w:val="EndnoteText"/>
    <w:uiPriority w:val="99"/>
    <w:semiHidden/>
    <w:rsid w:val="001E3920"/>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1E3920"/>
    <w:rPr>
      <w:vertAlign w:val="superscript"/>
    </w:rPr>
  </w:style>
  <w:style w:type="character" w:customStyle="1" w:styleId="muxgbd">
    <w:name w:val="muxgbd"/>
    <w:basedOn w:val="DefaultParagraphFont"/>
    <w:rsid w:val="00F85606"/>
  </w:style>
  <w:style w:type="paragraph" w:customStyle="1" w:styleId="Norm">
    <w:name w:val="Norm"/>
    <w:basedOn w:val="Normal"/>
    <w:qFormat/>
    <w:rsid w:val="009B4C5C"/>
    <w:pPr>
      <w:spacing w:after="120"/>
      <w:jc w:val="both"/>
    </w:pPr>
    <w:rPr>
      <w:lang w:val="en-US" w:eastAsia="en-US"/>
    </w:rPr>
  </w:style>
  <w:style w:type="paragraph" w:styleId="Quote">
    <w:name w:val="Quote"/>
    <w:basedOn w:val="Norm"/>
    <w:next w:val="Normal"/>
    <w:link w:val="QuoteChar"/>
    <w:uiPriority w:val="29"/>
    <w:qFormat/>
    <w:rsid w:val="009B4C5C"/>
    <w:pPr>
      <w:spacing w:before="120" w:after="480"/>
      <w:ind w:left="720"/>
    </w:pPr>
    <w:rPr>
      <w:sz w:val="20"/>
      <w:szCs w:val="20"/>
    </w:rPr>
  </w:style>
  <w:style w:type="character" w:customStyle="1" w:styleId="QuoteChar">
    <w:name w:val="Quote Char"/>
    <w:basedOn w:val="DefaultParagraphFont"/>
    <w:link w:val="Quote"/>
    <w:uiPriority w:val="29"/>
    <w:rsid w:val="009B4C5C"/>
    <w:rPr>
      <w:rFonts w:ascii="Times New Roman" w:eastAsia="Times New Roman" w:hAnsi="Times New Roman" w:cs="Times New Roman"/>
      <w:sz w:val="20"/>
      <w:szCs w:val="20"/>
      <w:lang w:val="en-US"/>
    </w:rPr>
  </w:style>
  <w:style w:type="character" w:customStyle="1" w:styleId="hgkelc">
    <w:name w:val="hgkelc"/>
    <w:basedOn w:val="DefaultParagraphFont"/>
    <w:rsid w:val="00FE5C81"/>
  </w:style>
  <w:style w:type="character" w:customStyle="1" w:styleId="jpfdse">
    <w:name w:val="jpfdse"/>
    <w:basedOn w:val="DefaultParagraphFont"/>
    <w:rsid w:val="00FE5C81"/>
  </w:style>
  <w:style w:type="character" w:customStyle="1" w:styleId="InternetLink">
    <w:name w:val="Internet Link"/>
    <w:rsid w:val="00EC04DB"/>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76296">
      <w:bodyDiv w:val="1"/>
      <w:marLeft w:val="0"/>
      <w:marRight w:val="0"/>
      <w:marTop w:val="0"/>
      <w:marBottom w:val="0"/>
      <w:divBdr>
        <w:top w:val="none" w:sz="0" w:space="0" w:color="auto"/>
        <w:left w:val="none" w:sz="0" w:space="0" w:color="auto"/>
        <w:bottom w:val="none" w:sz="0" w:space="0" w:color="auto"/>
        <w:right w:val="none" w:sz="0" w:space="0" w:color="auto"/>
      </w:divBdr>
      <w:divsChild>
        <w:div w:id="18363766">
          <w:marLeft w:val="0"/>
          <w:marRight w:val="0"/>
          <w:marTop w:val="0"/>
          <w:marBottom w:val="0"/>
          <w:divBdr>
            <w:top w:val="none" w:sz="0" w:space="0" w:color="auto"/>
            <w:left w:val="none" w:sz="0" w:space="0" w:color="auto"/>
            <w:bottom w:val="none" w:sz="0" w:space="0" w:color="auto"/>
            <w:right w:val="none" w:sz="0" w:space="0" w:color="auto"/>
          </w:divBdr>
        </w:div>
        <w:div w:id="2003466852">
          <w:marLeft w:val="0"/>
          <w:marRight w:val="0"/>
          <w:marTop w:val="0"/>
          <w:marBottom w:val="0"/>
          <w:divBdr>
            <w:top w:val="none" w:sz="0" w:space="0" w:color="auto"/>
            <w:left w:val="none" w:sz="0" w:space="0" w:color="auto"/>
            <w:bottom w:val="none" w:sz="0" w:space="0" w:color="auto"/>
            <w:right w:val="none" w:sz="0" w:space="0" w:color="auto"/>
          </w:divBdr>
        </w:div>
      </w:divsChild>
    </w:div>
    <w:div w:id="303588671">
      <w:bodyDiv w:val="1"/>
      <w:marLeft w:val="0"/>
      <w:marRight w:val="0"/>
      <w:marTop w:val="0"/>
      <w:marBottom w:val="0"/>
      <w:divBdr>
        <w:top w:val="none" w:sz="0" w:space="0" w:color="auto"/>
        <w:left w:val="none" w:sz="0" w:space="0" w:color="auto"/>
        <w:bottom w:val="none" w:sz="0" w:space="0" w:color="auto"/>
        <w:right w:val="none" w:sz="0" w:space="0" w:color="auto"/>
      </w:divBdr>
    </w:div>
    <w:div w:id="517042894">
      <w:bodyDiv w:val="1"/>
      <w:marLeft w:val="0"/>
      <w:marRight w:val="0"/>
      <w:marTop w:val="0"/>
      <w:marBottom w:val="0"/>
      <w:divBdr>
        <w:top w:val="none" w:sz="0" w:space="0" w:color="auto"/>
        <w:left w:val="none" w:sz="0" w:space="0" w:color="auto"/>
        <w:bottom w:val="none" w:sz="0" w:space="0" w:color="auto"/>
        <w:right w:val="none" w:sz="0" w:space="0" w:color="auto"/>
      </w:divBdr>
    </w:div>
    <w:div w:id="609970732">
      <w:bodyDiv w:val="1"/>
      <w:marLeft w:val="0"/>
      <w:marRight w:val="0"/>
      <w:marTop w:val="0"/>
      <w:marBottom w:val="0"/>
      <w:divBdr>
        <w:top w:val="none" w:sz="0" w:space="0" w:color="auto"/>
        <w:left w:val="none" w:sz="0" w:space="0" w:color="auto"/>
        <w:bottom w:val="none" w:sz="0" w:space="0" w:color="auto"/>
        <w:right w:val="none" w:sz="0" w:space="0" w:color="auto"/>
      </w:divBdr>
    </w:div>
    <w:div w:id="612520764">
      <w:bodyDiv w:val="1"/>
      <w:marLeft w:val="0"/>
      <w:marRight w:val="0"/>
      <w:marTop w:val="0"/>
      <w:marBottom w:val="0"/>
      <w:divBdr>
        <w:top w:val="none" w:sz="0" w:space="0" w:color="auto"/>
        <w:left w:val="none" w:sz="0" w:space="0" w:color="auto"/>
        <w:bottom w:val="none" w:sz="0" w:space="0" w:color="auto"/>
        <w:right w:val="none" w:sz="0" w:space="0" w:color="auto"/>
      </w:divBdr>
    </w:div>
    <w:div w:id="650183267">
      <w:bodyDiv w:val="1"/>
      <w:marLeft w:val="0"/>
      <w:marRight w:val="0"/>
      <w:marTop w:val="0"/>
      <w:marBottom w:val="0"/>
      <w:divBdr>
        <w:top w:val="none" w:sz="0" w:space="0" w:color="auto"/>
        <w:left w:val="none" w:sz="0" w:space="0" w:color="auto"/>
        <w:bottom w:val="none" w:sz="0" w:space="0" w:color="auto"/>
        <w:right w:val="none" w:sz="0" w:space="0" w:color="auto"/>
      </w:divBdr>
      <w:divsChild>
        <w:div w:id="1777479647">
          <w:marLeft w:val="0"/>
          <w:marRight w:val="0"/>
          <w:marTop w:val="0"/>
          <w:marBottom w:val="0"/>
          <w:divBdr>
            <w:top w:val="none" w:sz="0" w:space="0" w:color="auto"/>
            <w:left w:val="none" w:sz="0" w:space="0" w:color="auto"/>
            <w:bottom w:val="none" w:sz="0" w:space="0" w:color="auto"/>
            <w:right w:val="none" w:sz="0" w:space="0" w:color="auto"/>
          </w:divBdr>
          <w:divsChild>
            <w:div w:id="1019233261">
              <w:marLeft w:val="0"/>
              <w:marRight w:val="0"/>
              <w:marTop w:val="0"/>
              <w:marBottom w:val="0"/>
              <w:divBdr>
                <w:top w:val="none" w:sz="0" w:space="0" w:color="auto"/>
                <w:left w:val="none" w:sz="0" w:space="0" w:color="auto"/>
                <w:bottom w:val="none" w:sz="0" w:space="0" w:color="auto"/>
                <w:right w:val="none" w:sz="0" w:space="0" w:color="auto"/>
              </w:divBdr>
            </w:div>
          </w:divsChild>
        </w:div>
        <w:div w:id="1179150778">
          <w:marLeft w:val="0"/>
          <w:marRight w:val="0"/>
          <w:marTop w:val="0"/>
          <w:marBottom w:val="0"/>
          <w:divBdr>
            <w:top w:val="none" w:sz="0" w:space="0" w:color="auto"/>
            <w:left w:val="none" w:sz="0" w:space="0" w:color="auto"/>
            <w:bottom w:val="none" w:sz="0" w:space="0" w:color="auto"/>
            <w:right w:val="none" w:sz="0" w:space="0" w:color="auto"/>
          </w:divBdr>
          <w:divsChild>
            <w:div w:id="119614679">
              <w:marLeft w:val="0"/>
              <w:marRight w:val="0"/>
              <w:marTop w:val="0"/>
              <w:marBottom w:val="0"/>
              <w:divBdr>
                <w:top w:val="none" w:sz="0" w:space="0" w:color="auto"/>
                <w:left w:val="none" w:sz="0" w:space="0" w:color="auto"/>
                <w:bottom w:val="none" w:sz="0" w:space="0" w:color="auto"/>
                <w:right w:val="none" w:sz="0" w:space="0" w:color="auto"/>
              </w:divBdr>
              <w:divsChild>
                <w:div w:id="106973102">
                  <w:marLeft w:val="0"/>
                  <w:marRight w:val="0"/>
                  <w:marTop w:val="0"/>
                  <w:marBottom w:val="0"/>
                  <w:divBdr>
                    <w:top w:val="none" w:sz="0" w:space="0" w:color="auto"/>
                    <w:left w:val="none" w:sz="0" w:space="0" w:color="auto"/>
                    <w:bottom w:val="none" w:sz="0" w:space="0" w:color="auto"/>
                    <w:right w:val="none" w:sz="0" w:space="0" w:color="auto"/>
                  </w:divBdr>
                  <w:divsChild>
                    <w:div w:id="317154238">
                      <w:marLeft w:val="0"/>
                      <w:marRight w:val="0"/>
                      <w:marTop w:val="0"/>
                      <w:marBottom w:val="0"/>
                      <w:divBdr>
                        <w:top w:val="none" w:sz="0" w:space="0" w:color="auto"/>
                        <w:left w:val="none" w:sz="0" w:space="0" w:color="auto"/>
                        <w:bottom w:val="none" w:sz="0" w:space="0" w:color="auto"/>
                        <w:right w:val="none" w:sz="0" w:space="0" w:color="auto"/>
                      </w:divBdr>
                      <w:divsChild>
                        <w:div w:id="1932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868996">
      <w:bodyDiv w:val="1"/>
      <w:marLeft w:val="0"/>
      <w:marRight w:val="0"/>
      <w:marTop w:val="0"/>
      <w:marBottom w:val="0"/>
      <w:divBdr>
        <w:top w:val="none" w:sz="0" w:space="0" w:color="auto"/>
        <w:left w:val="none" w:sz="0" w:space="0" w:color="auto"/>
        <w:bottom w:val="none" w:sz="0" w:space="0" w:color="auto"/>
        <w:right w:val="none" w:sz="0" w:space="0" w:color="auto"/>
      </w:divBdr>
      <w:divsChild>
        <w:div w:id="335226984">
          <w:marLeft w:val="0"/>
          <w:marRight w:val="0"/>
          <w:marTop w:val="0"/>
          <w:marBottom w:val="0"/>
          <w:divBdr>
            <w:top w:val="none" w:sz="0" w:space="0" w:color="auto"/>
            <w:left w:val="none" w:sz="0" w:space="0" w:color="auto"/>
            <w:bottom w:val="none" w:sz="0" w:space="0" w:color="auto"/>
            <w:right w:val="none" w:sz="0" w:space="0" w:color="auto"/>
          </w:divBdr>
          <w:divsChild>
            <w:div w:id="618410969">
              <w:marLeft w:val="0"/>
              <w:marRight w:val="0"/>
              <w:marTop w:val="0"/>
              <w:marBottom w:val="0"/>
              <w:divBdr>
                <w:top w:val="none" w:sz="0" w:space="0" w:color="auto"/>
                <w:left w:val="none" w:sz="0" w:space="0" w:color="auto"/>
                <w:bottom w:val="none" w:sz="0" w:space="0" w:color="auto"/>
                <w:right w:val="none" w:sz="0" w:space="0" w:color="auto"/>
              </w:divBdr>
              <w:divsChild>
                <w:div w:id="51121624">
                  <w:marLeft w:val="0"/>
                  <w:marRight w:val="0"/>
                  <w:marTop w:val="0"/>
                  <w:marBottom w:val="0"/>
                  <w:divBdr>
                    <w:top w:val="none" w:sz="0" w:space="0" w:color="auto"/>
                    <w:left w:val="none" w:sz="0" w:space="0" w:color="auto"/>
                    <w:bottom w:val="none" w:sz="0" w:space="0" w:color="auto"/>
                    <w:right w:val="none" w:sz="0" w:space="0" w:color="auto"/>
                  </w:divBdr>
                  <w:divsChild>
                    <w:div w:id="3971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069007">
      <w:bodyDiv w:val="1"/>
      <w:marLeft w:val="0"/>
      <w:marRight w:val="0"/>
      <w:marTop w:val="0"/>
      <w:marBottom w:val="0"/>
      <w:divBdr>
        <w:top w:val="none" w:sz="0" w:space="0" w:color="auto"/>
        <w:left w:val="none" w:sz="0" w:space="0" w:color="auto"/>
        <w:bottom w:val="none" w:sz="0" w:space="0" w:color="auto"/>
        <w:right w:val="none" w:sz="0" w:space="0" w:color="auto"/>
      </w:divBdr>
      <w:divsChild>
        <w:div w:id="1986540715">
          <w:marLeft w:val="0"/>
          <w:marRight w:val="0"/>
          <w:marTop w:val="0"/>
          <w:marBottom w:val="0"/>
          <w:divBdr>
            <w:top w:val="none" w:sz="0" w:space="0" w:color="auto"/>
            <w:left w:val="none" w:sz="0" w:space="0" w:color="auto"/>
            <w:bottom w:val="none" w:sz="0" w:space="0" w:color="auto"/>
            <w:right w:val="none" w:sz="0" w:space="0" w:color="auto"/>
          </w:divBdr>
        </w:div>
        <w:div w:id="654728426">
          <w:marLeft w:val="0"/>
          <w:marRight w:val="0"/>
          <w:marTop w:val="0"/>
          <w:marBottom w:val="0"/>
          <w:divBdr>
            <w:top w:val="none" w:sz="0" w:space="0" w:color="auto"/>
            <w:left w:val="none" w:sz="0" w:space="0" w:color="auto"/>
            <w:bottom w:val="none" w:sz="0" w:space="0" w:color="auto"/>
            <w:right w:val="none" w:sz="0" w:space="0" w:color="auto"/>
          </w:divBdr>
        </w:div>
      </w:divsChild>
    </w:div>
    <w:div w:id="888490683">
      <w:bodyDiv w:val="1"/>
      <w:marLeft w:val="0"/>
      <w:marRight w:val="0"/>
      <w:marTop w:val="0"/>
      <w:marBottom w:val="0"/>
      <w:divBdr>
        <w:top w:val="none" w:sz="0" w:space="0" w:color="auto"/>
        <w:left w:val="none" w:sz="0" w:space="0" w:color="auto"/>
        <w:bottom w:val="none" w:sz="0" w:space="0" w:color="auto"/>
        <w:right w:val="none" w:sz="0" w:space="0" w:color="auto"/>
      </w:divBdr>
    </w:div>
    <w:div w:id="994378934">
      <w:bodyDiv w:val="1"/>
      <w:marLeft w:val="0"/>
      <w:marRight w:val="0"/>
      <w:marTop w:val="0"/>
      <w:marBottom w:val="0"/>
      <w:divBdr>
        <w:top w:val="none" w:sz="0" w:space="0" w:color="auto"/>
        <w:left w:val="none" w:sz="0" w:space="0" w:color="auto"/>
        <w:bottom w:val="none" w:sz="0" w:space="0" w:color="auto"/>
        <w:right w:val="none" w:sz="0" w:space="0" w:color="auto"/>
      </w:divBdr>
      <w:divsChild>
        <w:div w:id="1720399748">
          <w:marLeft w:val="0"/>
          <w:marRight w:val="0"/>
          <w:marTop w:val="0"/>
          <w:marBottom w:val="0"/>
          <w:divBdr>
            <w:top w:val="none" w:sz="0" w:space="0" w:color="auto"/>
            <w:left w:val="none" w:sz="0" w:space="0" w:color="auto"/>
            <w:bottom w:val="none" w:sz="0" w:space="0" w:color="auto"/>
            <w:right w:val="none" w:sz="0" w:space="0" w:color="auto"/>
          </w:divBdr>
          <w:divsChild>
            <w:div w:id="1832066146">
              <w:marLeft w:val="0"/>
              <w:marRight w:val="0"/>
              <w:marTop w:val="0"/>
              <w:marBottom w:val="0"/>
              <w:divBdr>
                <w:top w:val="none" w:sz="0" w:space="0" w:color="auto"/>
                <w:left w:val="none" w:sz="0" w:space="0" w:color="auto"/>
                <w:bottom w:val="none" w:sz="0" w:space="0" w:color="auto"/>
                <w:right w:val="none" w:sz="0" w:space="0" w:color="auto"/>
              </w:divBdr>
              <w:divsChild>
                <w:div w:id="852111753">
                  <w:marLeft w:val="0"/>
                  <w:marRight w:val="0"/>
                  <w:marTop w:val="0"/>
                  <w:marBottom w:val="0"/>
                  <w:divBdr>
                    <w:top w:val="none" w:sz="0" w:space="0" w:color="auto"/>
                    <w:left w:val="none" w:sz="0" w:space="0" w:color="auto"/>
                    <w:bottom w:val="none" w:sz="0" w:space="0" w:color="auto"/>
                    <w:right w:val="none" w:sz="0" w:space="0" w:color="auto"/>
                  </w:divBdr>
                  <w:divsChild>
                    <w:div w:id="475026936">
                      <w:marLeft w:val="0"/>
                      <w:marRight w:val="0"/>
                      <w:marTop w:val="0"/>
                      <w:marBottom w:val="0"/>
                      <w:divBdr>
                        <w:top w:val="none" w:sz="0" w:space="0" w:color="auto"/>
                        <w:left w:val="none" w:sz="0" w:space="0" w:color="auto"/>
                        <w:bottom w:val="none" w:sz="0" w:space="0" w:color="auto"/>
                        <w:right w:val="none" w:sz="0" w:space="0" w:color="auto"/>
                      </w:divBdr>
                      <w:divsChild>
                        <w:div w:id="1168985798">
                          <w:marLeft w:val="0"/>
                          <w:marRight w:val="0"/>
                          <w:marTop w:val="0"/>
                          <w:marBottom w:val="0"/>
                          <w:divBdr>
                            <w:top w:val="none" w:sz="0" w:space="0" w:color="auto"/>
                            <w:left w:val="none" w:sz="0" w:space="0" w:color="auto"/>
                            <w:bottom w:val="none" w:sz="0" w:space="0" w:color="auto"/>
                            <w:right w:val="none" w:sz="0" w:space="0" w:color="auto"/>
                          </w:divBdr>
                          <w:divsChild>
                            <w:div w:id="105724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889795">
          <w:marLeft w:val="0"/>
          <w:marRight w:val="0"/>
          <w:marTop w:val="0"/>
          <w:marBottom w:val="0"/>
          <w:divBdr>
            <w:top w:val="none" w:sz="0" w:space="0" w:color="auto"/>
            <w:left w:val="none" w:sz="0" w:space="0" w:color="auto"/>
            <w:bottom w:val="none" w:sz="0" w:space="0" w:color="auto"/>
            <w:right w:val="none" w:sz="0" w:space="0" w:color="auto"/>
          </w:divBdr>
          <w:divsChild>
            <w:div w:id="289943466">
              <w:marLeft w:val="0"/>
              <w:marRight w:val="0"/>
              <w:marTop w:val="0"/>
              <w:marBottom w:val="0"/>
              <w:divBdr>
                <w:top w:val="none" w:sz="0" w:space="0" w:color="auto"/>
                <w:left w:val="none" w:sz="0" w:space="0" w:color="auto"/>
                <w:bottom w:val="none" w:sz="0" w:space="0" w:color="auto"/>
                <w:right w:val="none" w:sz="0" w:space="0" w:color="auto"/>
              </w:divBdr>
              <w:divsChild>
                <w:div w:id="521015171">
                  <w:marLeft w:val="0"/>
                  <w:marRight w:val="0"/>
                  <w:marTop w:val="0"/>
                  <w:marBottom w:val="0"/>
                  <w:divBdr>
                    <w:top w:val="none" w:sz="0" w:space="0" w:color="auto"/>
                    <w:left w:val="none" w:sz="0" w:space="0" w:color="auto"/>
                    <w:bottom w:val="none" w:sz="0" w:space="0" w:color="auto"/>
                    <w:right w:val="none" w:sz="0" w:space="0" w:color="auto"/>
                  </w:divBdr>
                  <w:divsChild>
                    <w:div w:id="559830213">
                      <w:marLeft w:val="0"/>
                      <w:marRight w:val="0"/>
                      <w:marTop w:val="0"/>
                      <w:marBottom w:val="0"/>
                      <w:divBdr>
                        <w:top w:val="none" w:sz="0" w:space="0" w:color="auto"/>
                        <w:left w:val="none" w:sz="0" w:space="0" w:color="auto"/>
                        <w:bottom w:val="none" w:sz="0" w:space="0" w:color="auto"/>
                        <w:right w:val="none" w:sz="0" w:space="0" w:color="auto"/>
                      </w:divBdr>
                      <w:divsChild>
                        <w:div w:id="15928631">
                          <w:marLeft w:val="0"/>
                          <w:marRight w:val="0"/>
                          <w:marTop w:val="0"/>
                          <w:marBottom w:val="0"/>
                          <w:divBdr>
                            <w:top w:val="none" w:sz="0" w:space="0" w:color="auto"/>
                            <w:left w:val="none" w:sz="0" w:space="0" w:color="auto"/>
                            <w:bottom w:val="none" w:sz="0" w:space="0" w:color="auto"/>
                            <w:right w:val="none" w:sz="0" w:space="0" w:color="auto"/>
                          </w:divBdr>
                          <w:divsChild>
                            <w:div w:id="318191023">
                              <w:marLeft w:val="0"/>
                              <w:marRight w:val="0"/>
                              <w:marTop w:val="0"/>
                              <w:marBottom w:val="0"/>
                              <w:divBdr>
                                <w:top w:val="none" w:sz="0" w:space="0" w:color="auto"/>
                                <w:left w:val="none" w:sz="0" w:space="0" w:color="auto"/>
                                <w:bottom w:val="none" w:sz="0" w:space="0" w:color="auto"/>
                                <w:right w:val="none" w:sz="0" w:space="0" w:color="auto"/>
                              </w:divBdr>
                              <w:divsChild>
                                <w:div w:id="126144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04844">
                          <w:marLeft w:val="0"/>
                          <w:marRight w:val="0"/>
                          <w:marTop w:val="0"/>
                          <w:marBottom w:val="0"/>
                          <w:divBdr>
                            <w:top w:val="none" w:sz="0" w:space="0" w:color="auto"/>
                            <w:left w:val="none" w:sz="0" w:space="0" w:color="auto"/>
                            <w:bottom w:val="none" w:sz="0" w:space="0" w:color="auto"/>
                            <w:right w:val="none" w:sz="0" w:space="0" w:color="auto"/>
                          </w:divBdr>
                          <w:divsChild>
                            <w:div w:id="110249387">
                              <w:marLeft w:val="0"/>
                              <w:marRight w:val="0"/>
                              <w:marTop w:val="0"/>
                              <w:marBottom w:val="0"/>
                              <w:divBdr>
                                <w:top w:val="none" w:sz="0" w:space="0" w:color="auto"/>
                                <w:left w:val="none" w:sz="0" w:space="0" w:color="auto"/>
                                <w:bottom w:val="none" w:sz="0" w:space="0" w:color="auto"/>
                                <w:right w:val="none" w:sz="0" w:space="0" w:color="auto"/>
                              </w:divBdr>
                            </w:div>
                          </w:divsChild>
                        </w:div>
                        <w:div w:id="990673252">
                          <w:marLeft w:val="0"/>
                          <w:marRight w:val="0"/>
                          <w:marTop w:val="0"/>
                          <w:marBottom w:val="0"/>
                          <w:divBdr>
                            <w:top w:val="none" w:sz="0" w:space="0" w:color="auto"/>
                            <w:left w:val="none" w:sz="0" w:space="0" w:color="auto"/>
                            <w:bottom w:val="none" w:sz="0" w:space="0" w:color="auto"/>
                            <w:right w:val="none" w:sz="0" w:space="0" w:color="auto"/>
                          </w:divBdr>
                          <w:divsChild>
                            <w:div w:id="33037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443987">
      <w:bodyDiv w:val="1"/>
      <w:marLeft w:val="0"/>
      <w:marRight w:val="0"/>
      <w:marTop w:val="0"/>
      <w:marBottom w:val="0"/>
      <w:divBdr>
        <w:top w:val="none" w:sz="0" w:space="0" w:color="auto"/>
        <w:left w:val="none" w:sz="0" w:space="0" w:color="auto"/>
        <w:bottom w:val="none" w:sz="0" w:space="0" w:color="auto"/>
        <w:right w:val="none" w:sz="0" w:space="0" w:color="auto"/>
      </w:divBdr>
    </w:div>
    <w:div w:id="1422532599">
      <w:bodyDiv w:val="1"/>
      <w:marLeft w:val="0"/>
      <w:marRight w:val="0"/>
      <w:marTop w:val="0"/>
      <w:marBottom w:val="0"/>
      <w:divBdr>
        <w:top w:val="none" w:sz="0" w:space="0" w:color="auto"/>
        <w:left w:val="none" w:sz="0" w:space="0" w:color="auto"/>
        <w:bottom w:val="none" w:sz="0" w:space="0" w:color="auto"/>
        <w:right w:val="none" w:sz="0" w:space="0" w:color="auto"/>
      </w:divBdr>
    </w:div>
    <w:div w:id="1557551214">
      <w:bodyDiv w:val="1"/>
      <w:marLeft w:val="0"/>
      <w:marRight w:val="0"/>
      <w:marTop w:val="0"/>
      <w:marBottom w:val="0"/>
      <w:divBdr>
        <w:top w:val="none" w:sz="0" w:space="0" w:color="auto"/>
        <w:left w:val="none" w:sz="0" w:space="0" w:color="auto"/>
        <w:bottom w:val="none" w:sz="0" w:space="0" w:color="auto"/>
        <w:right w:val="none" w:sz="0" w:space="0" w:color="auto"/>
      </w:divBdr>
    </w:div>
    <w:div w:id="1762871182">
      <w:bodyDiv w:val="1"/>
      <w:marLeft w:val="0"/>
      <w:marRight w:val="0"/>
      <w:marTop w:val="0"/>
      <w:marBottom w:val="0"/>
      <w:divBdr>
        <w:top w:val="none" w:sz="0" w:space="0" w:color="auto"/>
        <w:left w:val="none" w:sz="0" w:space="0" w:color="auto"/>
        <w:bottom w:val="none" w:sz="0" w:space="0" w:color="auto"/>
        <w:right w:val="none" w:sz="0" w:space="0" w:color="auto"/>
      </w:divBdr>
    </w:div>
    <w:div w:id="211755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icpc.gov.ng/20y121/09/06/icpc-steadily-winning-the-war-against-corruption-written-by-femi-gold/" TargetMode="External"/><Relationship Id="rId13" Type="http://schemas.openxmlformats.org/officeDocument/2006/relationships/hyperlink" Target="https://thecjid.org/top-10-corruption-scandals-nigerias-national-assembly-hasnt-resolved/" TargetMode="External"/><Relationship Id="rId3" Type="http://schemas.openxmlformats.org/officeDocument/2006/relationships/hyperlink" Target="https://von.gov.ng/federal-executive-council-approves-new-anti-corruption-strategy-document/" TargetMode="External"/><Relationship Id="rId7" Type="http://schemas.openxmlformats.org/officeDocument/2006/relationships/hyperlink" Target="https://www.premiumtimesng.com/news/top-news/499315-nigerias-anti-graft-agencies-recover-n900-billion-looted-assets-in-20-years-cdd.html" TargetMode="External"/><Relationship Id="rId12" Type="http://schemas.openxmlformats.org/officeDocument/2006/relationships/hyperlink" Target="https://guardian.ng/news/efcc-records-48-convictions-n8-5bn-recoveries/" TargetMode="External"/><Relationship Id="rId17" Type="http://schemas.openxmlformats.org/officeDocument/2006/relationships/hyperlink" Target="https://www.vanguardngr.com/2021/11/malami-orders-efcc-to-handover-casefile-of-ex-aviation-minister-oduah/" TargetMode="External"/><Relationship Id="rId2" Type="http://schemas.openxmlformats.org/officeDocument/2006/relationships/hyperlink" Target="mailto:dd.adeyemo@ui.edu.ng" TargetMode="External"/><Relationship Id="rId16" Type="http://schemas.openxmlformats.org/officeDocument/2006/relationships/hyperlink" Target="https://www.vanguardngr.com/2011/07/efcc-what-is-attorney-general-up-to/" TargetMode="External"/><Relationship Id="rId1" Type="http://schemas.openxmlformats.org/officeDocument/2006/relationships/hyperlink" Target="mailto:uassim@uwc.ac.za" TargetMode="External"/><Relationship Id="rId6" Type="http://schemas.openxmlformats.org/officeDocument/2006/relationships/hyperlink" Target="https://dailytrust.com/agf-writes-efcc-icpc-again-over-high-profile-cases/" TargetMode="External"/><Relationship Id="rId11" Type="http://schemas.openxmlformats.org/officeDocument/2006/relationships/hyperlink" Target="https://www.efcc.gov.ng/efcc/news-and-information/news-release/8781-efcc-secures-3785-convictions-in-2022" TargetMode="External"/><Relationship Id="rId5" Type="http://schemas.openxmlformats.org/officeDocument/2006/relationships/hyperlink" Target="https://www.unodc.org/documents/corruption/WG-Prevention/Art_6_Preventive_anti-corruption_bodies/Nigeria.pdf" TargetMode="External"/><Relationship Id="rId15" Type="http://schemas.openxmlformats.org/officeDocument/2006/relationships/hyperlink" Target="https://www.thisdaylive.com/index.php/2024/05/12/as-court-strengthens-efcc-icpcs-powers/" TargetMode="External"/><Relationship Id="rId10" Type="http://schemas.openxmlformats.org/officeDocument/2006/relationships/hyperlink" Target="https://www.efcc.gov.ng/efcc/news-and-information/news-release/10136-efcc-secures-3-175-convictions-recovers-n156-billion-in-one-year" TargetMode="External"/><Relationship Id="rId4" Type="http://schemas.openxmlformats.org/officeDocument/2006/relationships/hyperlink" Target="https://www.unodc.org/pdf/crime/corruption/UN_Guide.pdf" TargetMode="External"/><Relationship Id="rId9" Type="http://schemas.openxmlformats.org/officeDocument/2006/relationships/hyperlink" Target="https://icpc.gov.ng/2023/06/22/18184/" TargetMode="External"/><Relationship Id="rId14" Type="http://schemas.openxmlformats.org/officeDocument/2006/relationships/hyperlink" Target="https://punchng.com/scourt-hears-16-states-suit-challenging-efcc-legality-oct-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1CF93-761C-4373-BB75-1238A7816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3615</Words>
  <Characters>20611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REVIEWER</cp:lastModifiedBy>
  <cp:revision>8</cp:revision>
  <cp:lastPrinted>2024-08-01T15:22:00Z</cp:lastPrinted>
  <dcterms:created xsi:type="dcterms:W3CDTF">2025-06-19T08:05:00Z</dcterms:created>
  <dcterms:modified xsi:type="dcterms:W3CDTF">2025-06-19T08:15:00Z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94d4cbe9-48f0-4e00-b8e3-a55ab153e565</vt:lpwstr>
  </property>
</Properties>
</file>